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E22F9C" w:rsidRDefault="00AC54E0" w:rsidP="00E22F9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E22F9C">
        <w:rPr>
          <w:rFonts w:eastAsia="Calibri"/>
          <w:b/>
          <w:color w:val="000000"/>
        </w:rPr>
        <w:t xml:space="preserve">Комитет по управлению муниципальным имуществом  </w:t>
      </w:r>
      <w:r w:rsidR="00351EE7" w:rsidRPr="00E22F9C">
        <w:rPr>
          <w:rFonts w:eastAsia="Calibri"/>
          <w:b/>
          <w:color w:val="000000"/>
        </w:rPr>
        <w:t>А</w:t>
      </w:r>
      <w:r w:rsidRPr="00E22F9C">
        <w:rPr>
          <w:rFonts w:eastAsia="Calibri"/>
          <w:b/>
          <w:color w:val="000000"/>
        </w:rPr>
        <w:t xml:space="preserve">дминистрации </w:t>
      </w:r>
      <w:r w:rsidR="00D37700" w:rsidRPr="00E22F9C">
        <w:rPr>
          <w:rFonts w:eastAsia="Calibri"/>
          <w:b/>
          <w:color w:val="000000"/>
        </w:rPr>
        <w:t xml:space="preserve">ЗАТО  </w:t>
      </w:r>
      <w:r w:rsidR="00351EE7" w:rsidRPr="00E22F9C">
        <w:rPr>
          <w:rFonts w:eastAsia="Calibri"/>
          <w:b/>
          <w:color w:val="000000"/>
        </w:rPr>
        <w:t xml:space="preserve">                             </w:t>
      </w:r>
      <w:r w:rsidR="00D37700" w:rsidRPr="00E22F9C">
        <w:rPr>
          <w:rFonts w:eastAsia="Calibri"/>
          <w:b/>
          <w:color w:val="000000"/>
        </w:rPr>
        <w:t xml:space="preserve">   г.</w:t>
      </w:r>
      <w:r w:rsidRPr="00E22F9C">
        <w:rPr>
          <w:rFonts w:eastAsia="Calibri"/>
          <w:b/>
          <w:color w:val="000000"/>
        </w:rPr>
        <w:t xml:space="preserve"> </w:t>
      </w:r>
      <w:r w:rsidR="00D37700" w:rsidRPr="00E22F9C">
        <w:rPr>
          <w:rFonts w:eastAsia="Calibri"/>
          <w:b/>
          <w:color w:val="000000"/>
        </w:rPr>
        <w:t xml:space="preserve">Железногорск  </w:t>
      </w:r>
      <w:r w:rsidRPr="00E22F9C">
        <w:rPr>
          <w:rFonts w:eastAsia="Calibri"/>
          <w:b/>
          <w:color w:val="000000"/>
        </w:rPr>
        <w:t>сообщает о проведении продажи муниципального имущества</w:t>
      </w:r>
    </w:p>
    <w:p w:rsidR="00AC54E0" w:rsidRPr="00E22F9C" w:rsidRDefault="00AC54E0" w:rsidP="00E22F9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E22F9C">
        <w:rPr>
          <w:rFonts w:eastAsia="Calibri"/>
          <w:b/>
          <w:color w:val="000000"/>
        </w:rPr>
        <w:t xml:space="preserve">на аукционе в электронной форме </w:t>
      </w:r>
      <w:r w:rsidR="00C457A2" w:rsidRPr="00E22F9C">
        <w:rPr>
          <w:rFonts w:eastAsia="Calibri"/>
          <w:b/>
          <w:color w:val="000000"/>
        </w:rPr>
        <w:t xml:space="preserve"> </w:t>
      </w:r>
      <w:r w:rsidR="004C1CB9" w:rsidRPr="00E22F9C">
        <w:rPr>
          <w:rFonts w:eastAsia="Calibri"/>
          <w:b/>
          <w:color w:val="000000"/>
        </w:rPr>
        <w:t xml:space="preserve">(извещение на сайте </w:t>
      </w:r>
      <w:hyperlink r:id="rId6" w:history="1">
        <w:r w:rsidR="004C1CB9" w:rsidRPr="00E22F9C">
          <w:rPr>
            <w:rFonts w:eastAsia="Calibri"/>
            <w:b/>
            <w:color w:val="000000"/>
          </w:rPr>
          <w:t>www.torgi.gov.ru</w:t>
        </w:r>
      </w:hyperlink>
      <w:r w:rsidR="00D2174C" w:rsidRPr="00E22F9C">
        <w:rPr>
          <w:rFonts w:eastAsia="Calibri"/>
          <w:b/>
          <w:color w:val="000000"/>
        </w:rPr>
        <w:t xml:space="preserve">                                 </w:t>
      </w:r>
      <w:r w:rsidRPr="00E22F9C">
        <w:rPr>
          <w:rFonts w:eastAsia="Calibri"/>
          <w:b/>
          <w:color w:val="000000"/>
        </w:rPr>
        <w:t>№</w:t>
      </w:r>
      <w:r w:rsidR="000A53B9" w:rsidRPr="00E22F9C">
        <w:rPr>
          <w:rFonts w:eastAsia="Calibri"/>
          <w:b/>
          <w:color w:val="000000"/>
        </w:rPr>
        <w:t xml:space="preserve"> </w:t>
      </w:r>
      <w:r w:rsidR="00F029BA" w:rsidRPr="00E22F9C">
        <w:rPr>
          <w:rFonts w:eastAsia="Calibri"/>
          <w:b/>
          <w:color w:val="000000"/>
        </w:rPr>
        <w:t xml:space="preserve"> </w:t>
      </w:r>
      <w:r w:rsidR="00E22F9C" w:rsidRPr="00E22F9C">
        <w:rPr>
          <w:rFonts w:eastAsia="Calibri"/>
          <w:b/>
          <w:color w:val="000000"/>
        </w:rPr>
        <w:t xml:space="preserve"> 21000011480000000</w:t>
      </w:r>
      <w:r w:rsidR="00266816">
        <w:rPr>
          <w:rFonts w:eastAsia="Calibri"/>
          <w:b/>
          <w:color w:val="000000"/>
        </w:rPr>
        <w:t>3</w:t>
      </w:r>
      <w:r w:rsidR="0008576F">
        <w:rPr>
          <w:rFonts w:eastAsia="Calibri"/>
          <w:b/>
          <w:color w:val="000000"/>
        </w:rPr>
        <w:t>98</w:t>
      </w:r>
      <w:r w:rsidR="00BA0443" w:rsidRPr="00E22F9C">
        <w:rPr>
          <w:rFonts w:eastAsia="Calibri"/>
          <w:b/>
          <w:color w:val="000000"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>– Администрация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7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8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9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Администрация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0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240682">
      <w:pPr>
        <w:widowControl w:val="0"/>
        <w:tabs>
          <w:tab w:val="left" w:pos="567"/>
          <w:tab w:val="left" w:pos="3600"/>
        </w:tabs>
        <w:ind w:firstLine="567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proofErr w:type="gramStart"/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</w:t>
      </w:r>
      <w:r w:rsidRPr="00D37700">
        <w:rPr>
          <w:color w:val="000000"/>
        </w:rPr>
        <w:lastRenderedPageBreak/>
        <w:t xml:space="preserve">27.08.2012 № 860, </w:t>
      </w:r>
      <w:r w:rsidR="00D37700" w:rsidRPr="00D37700">
        <w:t>решени</w:t>
      </w:r>
      <w:r w:rsidR="00D7441B">
        <w:t>е</w:t>
      </w:r>
      <w:r w:rsidR="00D37700" w:rsidRPr="00D37700">
        <w:t>м городского Совета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</w:t>
      </w:r>
      <w:proofErr w:type="gramEnd"/>
      <w:r w:rsidR="00D37700" w:rsidRPr="00D37700">
        <w:t xml:space="preserve"> Красноярского края»</w:t>
      </w:r>
      <w:r w:rsidR="00D5091A">
        <w:t xml:space="preserve">, </w:t>
      </w:r>
      <w:r w:rsidR="004E7E56" w:rsidRPr="00D5091A">
        <w:t xml:space="preserve">решением Совета депутатов ЗАТО </w:t>
      </w:r>
      <w:r w:rsidR="004E7E56">
        <w:t xml:space="preserve">           </w:t>
      </w:r>
      <w:r w:rsidR="004E7E56" w:rsidRPr="00D5091A">
        <w:t xml:space="preserve">г. Железногорск от </w:t>
      </w:r>
      <w:r w:rsidR="0083774F">
        <w:t>26.10.2023</w:t>
      </w:r>
      <w:r w:rsidR="004E7E56" w:rsidRPr="00D5091A">
        <w:t xml:space="preserve"> № </w:t>
      </w:r>
      <w:r w:rsidR="0083774F">
        <w:t>34-381</w:t>
      </w:r>
      <w:r w:rsidR="004E7E56" w:rsidRPr="00D5091A">
        <w:t>Р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83774F">
        <w:t>4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11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930179">
      <w:pPr>
        <w:widowControl w:val="0"/>
        <w:tabs>
          <w:tab w:val="left" w:pos="426"/>
          <w:tab w:val="left" w:pos="3600"/>
        </w:tabs>
        <w:ind w:firstLine="426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Pr="00B567E5" w:rsidRDefault="001A4F82" w:rsidP="003F551F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567E5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B567E5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r w:rsidRPr="00B567E5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r w:rsidR="00AC54E0" w:rsidRPr="00B567E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B567E5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B567E5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594E44">
        <w:rPr>
          <w:rFonts w:ascii="Times New Roman" w:hAnsi="Times New Roman"/>
          <w:b w:val="0"/>
          <w:i w:val="0"/>
          <w:sz w:val="24"/>
          <w:szCs w:val="24"/>
        </w:rPr>
        <w:t>01.11</w:t>
      </w:r>
      <w:r w:rsidR="0083774F">
        <w:rPr>
          <w:rFonts w:ascii="Times New Roman" w:hAnsi="Times New Roman"/>
          <w:b w:val="0"/>
          <w:i w:val="0"/>
          <w:sz w:val="24"/>
          <w:szCs w:val="24"/>
        </w:rPr>
        <w:t>.2024</w:t>
      </w:r>
      <w:r w:rsidR="00D7441B" w:rsidRPr="00B567E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567E5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922C15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594E44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922C15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D97A4A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B567E5">
        <w:rPr>
          <w:rFonts w:ascii="Times New Roman" w:hAnsi="Times New Roman"/>
          <w:b w:val="0"/>
          <w:i w:val="0"/>
          <w:sz w:val="24"/>
          <w:szCs w:val="24"/>
        </w:rPr>
        <w:t xml:space="preserve"> «Об условиях приватизации </w:t>
      </w:r>
      <w:r w:rsidR="00594E44">
        <w:rPr>
          <w:rFonts w:ascii="Times New Roman" w:hAnsi="Times New Roman"/>
          <w:b w:val="0"/>
          <w:i w:val="0"/>
          <w:sz w:val="24"/>
          <w:szCs w:val="24"/>
        </w:rPr>
        <w:t>объекта незавершенного строительства (гаража), расположенного по адресу: ГК № 78, бокс 9А, гараж № 38</w:t>
      </w:r>
      <w:r w:rsidRPr="00B567E5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 w:rsidRPr="00B567E5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3F551F" w:rsidRDefault="00AC54E0" w:rsidP="00930179">
      <w:pPr>
        <w:widowControl w:val="0"/>
        <w:tabs>
          <w:tab w:val="left" w:pos="567"/>
          <w:tab w:val="left" w:pos="3600"/>
        </w:tabs>
        <w:ind w:firstLine="426"/>
        <w:jc w:val="both"/>
      </w:pPr>
      <w:r w:rsidRPr="003F551F">
        <w:rPr>
          <w:b/>
        </w:rPr>
        <w:t>2.3. Предмет аукциона</w:t>
      </w:r>
      <w:r w:rsidRPr="003F551F">
        <w:t xml:space="preserve">: </w:t>
      </w:r>
    </w:p>
    <w:p w:rsidR="003F551F" w:rsidRPr="00594E44" w:rsidRDefault="003F551F" w:rsidP="00930179">
      <w:pPr>
        <w:ind w:firstLine="426"/>
        <w:jc w:val="both"/>
      </w:pPr>
      <w:r w:rsidRPr="003F551F">
        <w:rPr>
          <w:b/>
        </w:rPr>
        <w:t>2</w:t>
      </w:r>
      <w:r w:rsidRPr="00594E44">
        <w:rPr>
          <w:b/>
        </w:rPr>
        <w:t>.3.1. Наименование объекта</w:t>
      </w:r>
      <w:r w:rsidRPr="00594E44">
        <w:t xml:space="preserve"> – </w:t>
      </w:r>
      <w:r w:rsidR="00594E44" w:rsidRPr="00594E44">
        <w:t>объект незавершенного строительства (гараж)</w:t>
      </w:r>
      <w:r w:rsidRPr="00594E44">
        <w:t>;</w:t>
      </w:r>
    </w:p>
    <w:p w:rsidR="003F551F" w:rsidRPr="00594E44" w:rsidRDefault="003F551F" w:rsidP="00930179">
      <w:pPr>
        <w:ind w:firstLine="426"/>
        <w:jc w:val="both"/>
      </w:pPr>
      <w:r w:rsidRPr="00594E44">
        <w:rPr>
          <w:b/>
        </w:rPr>
        <w:t>2.3.2. Адрес объекта</w:t>
      </w:r>
      <w:r w:rsidRPr="00594E44">
        <w:t xml:space="preserve"> – </w:t>
      </w:r>
      <w:r w:rsidR="00594E44" w:rsidRPr="00594E44">
        <w:t>Российская Федерация, Красноярский край, городской округ ЗАТО город Железногорск, город Железногорск, ГК № 78, бокс 9А, гараж № 38</w:t>
      </w:r>
      <w:r w:rsidRPr="00594E44">
        <w:t>;</w:t>
      </w:r>
    </w:p>
    <w:p w:rsidR="003F551F" w:rsidRPr="003F551F" w:rsidRDefault="003F551F" w:rsidP="00930179">
      <w:pPr>
        <w:ind w:firstLine="426"/>
        <w:jc w:val="both"/>
      </w:pPr>
      <w:r w:rsidRPr="003F551F">
        <w:rPr>
          <w:b/>
        </w:rPr>
        <w:t xml:space="preserve">2.3.3. </w:t>
      </w:r>
      <w:r w:rsidR="00594E44">
        <w:rPr>
          <w:b/>
        </w:rPr>
        <w:t>Степень готовности</w:t>
      </w:r>
      <w:r w:rsidRPr="003F551F">
        <w:rPr>
          <w:b/>
        </w:rPr>
        <w:t xml:space="preserve"> </w:t>
      </w:r>
      <w:r w:rsidRPr="003F551F">
        <w:t>– 9</w:t>
      </w:r>
      <w:r w:rsidR="00D17CF8">
        <w:t>0</w:t>
      </w:r>
      <w:r w:rsidR="00594E44">
        <w:t>%</w:t>
      </w:r>
      <w:r w:rsidRPr="003F551F">
        <w:t>;</w:t>
      </w:r>
    </w:p>
    <w:p w:rsidR="003F551F" w:rsidRPr="003F551F" w:rsidRDefault="003F551F" w:rsidP="00930179">
      <w:pPr>
        <w:ind w:firstLine="426"/>
        <w:jc w:val="both"/>
      </w:pPr>
      <w:r w:rsidRPr="003F551F">
        <w:rPr>
          <w:b/>
        </w:rPr>
        <w:t>2.3.4.</w:t>
      </w:r>
      <w:r w:rsidRPr="003F551F">
        <w:t xml:space="preserve"> </w:t>
      </w:r>
      <w:r w:rsidRPr="003F551F">
        <w:rPr>
          <w:b/>
        </w:rPr>
        <w:t xml:space="preserve">Площадь </w:t>
      </w:r>
      <w:r w:rsidRPr="003F551F">
        <w:t xml:space="preserve">– </w:t>
      </w:r>
      <w:r w:rsidR="00594E44">
        <w:t>60,</w:t>
      </w:r>
      <w:r w:rsidR="006D0447">
        <w:t>2</w:t>
      </w:r>
      <w:r w:rsidRPr="003F551F">
        <w:t xml:space="preserve"> кв</w:t>
      </w:r>
      <w:proofErr w:type="gramStart"/>
      <w:r w:rsidRPr="003F551F">
        <w:t>.м</w:t>
      </w:r>
      <w:proofErr w:type="gramEnd"/>
      <w:r w:rsidRPr="003F551F">
        <w:t>етров;</w:t>
      </w:r>
    </w:p>
    <w:p w:rsidR="003F551F" w:rsidRDefault="003F551F" w:rsidP="00930179">
      <w:pPr>
        <w:ind w:firstLine="426"/>
        <w:jc w:val="both"/>
      </w:pPr>
      <w:r w:rsidRPr="003F551F">
        <w:rPr>
          <w:b/>
        </w:rPr>
        <w:t xml:space="preserve">2.3.5. Назначение – </w:t>
      </w:r>
      <w:r w:rsidRPr="003F551F">
        <w:t>нежилое;</w:t>
      </w:r>
    </w:p>
    <w:p w:rsidR="00B567E5" w:rsidRDefault="00D17CF8" w:rsidP="00B567E5">
      <w:pPr>
        <w:ind w:firstLine="284"/>
        <w:jc w:val="both"/>
      </w:pPr>
      <w:r w:rsidRPr="00D17CF8">
        <w:rPr>
          <w:b/>
        </w:rPr>
        <w:t xml:space="preserve">  </w:t>
      </w:r>
      <w:r w:rsidR="00B567E5" w:rsidRPr="003F551F">
        <w:t xml:space="preserve"> К настоящему информационному сообщению прилагаются выписк</w:t>
      </w:r>
      <w:r>
        <w:t>а</w:t>
      </w:r>
      <w:r w:rsidR="00B567E5" w:rsidRPr="003F551F">
        <w:t xml:space="preserve"> из Единого государственного реестра недвижимости в отношении</w:t>
      </w:r>
      <w:r w:rsidR="00B567E5" w:rsidRPr="00FB02AC">
        <w:t xml:space="preserve"> </w:t>
      </w:r>
      <w:r w:rsidR="003F551F">
        <w:t>Объекта</w:t>
      </w:r>
      <w:r>
        <w:t xml:space="preserve"> </w:t>
      </w:r>
      <w:r w:rsidR="00594E44">
        <w:t xml:space="preserve">и земельного участка, на котором расположен Объект, </w:t>
      </w:r>
      <w:r w:rsidR="00032CE9">
        <w:t xml:space="preserve"> фотографии Объекта</w:t>
      </w:r>
      <w:r w:rsidR="00B567E5" w:rsidRPr="00FB02AC">
        <w:t>.</w:t>
      </w:r>
      <w:r w:rsidR="00B567E5" w:rsidRPr="00FB02AC">
        <w:rPr>
          <w:color w:val="FF0000"/>
        </w:rPr>
        <w:t xml:space="preserve"> </w:t>
      </w:r>
      <w:r w:rsidR="00266816">
        <w:t>Объект</w:t>
      </w:r>
      <w:r w:rsidR="00266816" w:rsidRPr="00266816">
        <w:t xml:space="preserve"> </w:t>
      </w:r>
      <w:r w:rsidR="00594E44">
        <w:t xml:space="preserve">(2-х ярусный объект незавершенного строительства) расположен в середине гаражного бокса, боковые стены – бетонные блоки, образованные от смежных гаражей, </w:t>
      </w:r>
      <w:proofErr w:type="spellStart"/>
      <w:r w:rsidR="00594E44">
        <w:t>пол-бетонная</w:t>
      </w:r>
      <w:proofErr w:type="spellEnd"/>
      <w:r w:rsidR="00594E44">
        <w:t xml:space="preserve"> плита, верхнее перекрытие – бетонная плита, задняя стена – бетонная плита, являющаяся общей для Объекта и соседнего с ним смежного гаража</w:t>
      </w:r>
      <w:r w:rsidR="0083774F" w:rsidRPr="0083774F">
        <w:t>.</w:t>
      </w:r>
      <w:r w:rsidR="00B567E5" w:rsidRPr="00FB02AC">
        <w:t xml:space="preserve"> В районе расположения Объекта </w:t>
      </w:r>
      <w:r w:rsidR="003F551F">
        <w:t xml:space="preserve">развиты </w:t>
      </w:r>
      <w:r w:rsidR="00B567E5" w:rsidRPr="00FB02AC">
        <w:t xml:space="preserve">социальная и экономическая инфраструктуры. </w:t>
      </w:r>
    </w:p>
    <w:p w:rsidR="0083774F" w:rsidRPr="00FB02AC" w:rsidRDefault="0083774F" w:rsidP="00B567E5">
      <w:pPr>
        <w:ind w:firstLine="284"/>
        <w:jc w:val="both"/>
      </w:pPr>
    </w:p>
    <w:p w:rsidR="00746013" w:rsidRDefault="00746013" w:rsidP="00746013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922C15" w:rsidRPr="00E73531" w:rsidRDefault="00922C15" w:rsidP="00922C15">
      <w:pPr>
        <w:autoSpaceDE w:val="0"/>
        <w:autoSpaceDN w:val="0"/>
        <w:adjustRightInd w:val="0"/>
        <w:jc w:val="both"/>
        <w:rPr>
          <w:color w:val="000000"/>
        </w:rPr>
      </w:pPr>
      <w:r w:rsidRPr="00E73531">
        <w:rPr>
          <w:color w:val="000000"/>
        </w:rPr>
        <w:t>Торги по продаже объекта</w:t>
      </w:r>
      <w:r>
        <w:rPr>
          <w:color w:val="000000"/>
        </w:rPr>
        <w:t xml:space="preserve"> </w:t>
      </w:r>
      <w:r w:rsidR="00060B01">
        <w:rPr>
          <w:color w:val="000000"/>
        </w:rPr>
        <w:t>проводятся впервые</w:t>
      </w:r>
      <w:r w:rsidRPr="00E73531">
        <w:rPr>
          <w:color w:val="000000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930179">
      <w:pPr>
        <w:widowControl w:val="0"/>
        <w:tabs>
          <w:tab w:val="left" w:pos="993"/>
        </w:tabs>
        <w:ind w:firstLine="426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930179">
      <w:pPr>
        <w:widowControl w:val="0"/>
        <w:tabs>
          <w:tab w:val="left" w:pos="993"/>
        </w:tabs>
        <w:ind w:firstLine="426"/>
        <w:jc w:val="both"/>
      </w:pPr>
    </w:p>
    <w:p w:rsidR="00AC54E0" w:rsidRPr="00D51EB0" w:rsidRDefault="00AC54E0" w:rsidP="00930179">
      <w:pPr>
        <w:widowControl w:val="0"/>
        <w:tabs>
          <w:tab w:val="left" w:pos="993"/>
        </w:tabs>
        <w:ind w:firstLine="426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930179" w:rsidP="00930179">
      <w:pPr>
        <w:tabs>
          <w:tab w:val="left" w:pos="426"/>
        </w:tabs>
        <w:jc w:val="both"/>
      </w:pPr>
      <w:r>
        <w:rPr>
          <w:b/>
        </w:rPr>
        <w:t xml:space="preserve">      </w:t>
      </w:r>
      <w:r w:rsidR="001A4F82" w:rsidRPr="00D51EB0">
        <w:rPr>
          <w:b/>
        </w:rPr>
        <w:t>Начальная цена объекта</w:t>
      </w:r>
      <w:r w:rsidR="001A4F82" w:rsidRPr="00D51EB0">
        <w:t xml:space="preserve"> – </w:t>
      </w:r>
      <w:r w:rsidR="00060B01">
        <w:t>300</w:t>
      </w:r>
      <w:r w:rsidR="00922C15">
        <w:t xml:space="preserve"> </w:t>
      </w:r>
      <w:r w:rsidR="003F551F">
        <w:t>000</w:t>
      </w:r>
      <w:r w:rsidR="00B567E5">
        <w:t>,00</w:t>
      </w:r>
      <w:r w:rsidR="008E0CC4" w:rsidRPr="008E0CC4">
        <w:t xml:space="preserve">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1A4F82" w:rsidRPr="00D51EB0" w:rsidRDefault="001A4F82" w:rsidP="00930179">
      <w:pPr>
        <w:tabs>
          <w:tab w:val="left" w:pos="426"/>
        </w:tabs>
        <w:ind w:left="284" w:firstLine="66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</w:t>
      </w:r>
      <w:r w:rsidR="003F551F">
        <w:t>3</w:t>
      </w:r>
      <w:r w:rsidR="0042009C">
        <w:t> 000,00</w:t>
      </w:r>
      <w:r w:rsidRPr="00D51EB0">
        <w:t xml:space="preserve"> рублей.</w:t>
      </w:r>
    </w:p>
    <w:p w:rsidR="001A4F82" w:rsidRPr="00D51EB0" w:rsidRDefault="001A4F82" w:rsidP="00930179">
      <w:pPr>
        <w:tabs>
          <w:tab w:val="left" w:pos="426"/>
        </w:tabs>
        <w:ind w:left="284" w:firstLine="66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930179">
      <w:pPr>
        <w:tabs>
          <w:tab w:val="left" w:pos="426"/>
        </w:tabs>
        <w:ind w:left="284" w:firstLine="66"/>
        <w:jc w:val="both"/>
        <w:rPr>
          <w:b/>
        </w:rPr>
      </w:pPr>
      <w:r w:rsidRPr="00D51EB0">
        <w:t xml:space="preserve">             оценка рыночной стоимости – </w:t>
      </w:r>
      <w:r w:rsidR="003F551F">
        <w:t>3</w:t>
      </w:r>
      <w:r w:rsidR="0042009C">
        <w:t>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930179">
      <w:pPr>
        <w:tabs>
          <w:tab w:val="left" w:pos="993"/>
        </w:tabs>
        <w:ind w:left="284" w:firstLine="426"/>
        <w:jc w:val="both"/>
        <w:rPr>
          <w:b/>
        </w:rPr>
      </w:pPr>
    </w:p>
    <w:p w:rsidR="00AC54E0" w:rsidRPr="00407D71" w:rsidRDefault="00AC54E0" w:rsidP="00930179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Pr="00407D71">
        <w:rPr>
          <w:b/>
        </w:rPr>
        <w:t>аукциона в электронной форме, подведения итогов аукциона.</w:t>
      </w:r>
    </w:p>
    <w:p w:rsidR="00AC54E0" w:rsidRPr="00137102" w:rsidRDefault="00AC54E0" w:rsidP="00930179">
      <w:pPr>
        <w:tabs>
          <w:tab w:val="left" w:pos="993"/>
        </w:tabs>
        <w:ind w:firstLine="426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930179">
      <w:pPr>
        <w:tabs>
          <w:tab w:val="left" w:pos="993"/>
        </w:tabs>
        <w:ind w:firstLine="426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930179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аукционе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060B01">
        <w:rPr>
          <w:b/>
        </w:rPr>
        <w:t>1</w:t>
      </w:r>
      <w:r w:rsidR="006D0447">
        <w:rPr>
          <w:b/>
        </w:rPr>
        <w:t>1</w:t>
      </w:r>
      <w:r w:rsidRPr="00137102">
        <w:rPr>
          <w:b/>
        </w:rPr>
        <w:t xml:space="preserve">» </w:t>
      </w:r>
      <w:r w:rsidR="00060B01">
        <w:rPr>
          <w:b/>
        </w:rPr>
        <w:t>но</w:t>
      </w:r>
      <w:r w:rsidR="00922C15">
        <w:rPr>
          <w:b/>
        </w:rPr>
        <w:t>ябр</w:t>
      </w:r>
      <w:r w:rsidR="00266816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802CFA">
        <w:rPr>
          <w:b/>
        </w:rPr>
        <w:t>4</w:t>
      </w:r>
      <w:r w:rsidRPr="00137102">
        <w:rPr>
          <w:b/>
        </w:rPr>
        <w:t xml:space="preserve"> года.</w:t>
      </w:r>
    </w:p>
    <w:p w:rsidR="00AC54E0" w:rsidRPr="00137102" w:rsidRDefault="00AC54E0" w:rsidP="009301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в аукционе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6D0447">
        <w:rPr>
          <w:b/>
        </w:rPr>
        <w:t>0</w:t>
      </w:r>
      <w:r w:rsidR="00060B01">
        <w:rPr>
          <w:b/>
        </w:rPr>
        <w:t>9</w:t>
      </w:r>
      <w:r w:rsidRPr="00137102">
        <w:rPr>
          <w:b/>
        </w:rPr>
        <w:t xml:space="preserve">» </w:t>
      </w:r>
      <w:r w:rsidR="00922C15">
        <w:rPr>
          <w:b/>
        </w:rPr>
        <w:t>декабря</w:t>
      </w:r>
      <w:r w:rsidR="00802CFA">
        <w:rPr>
          <w:b/>
        </w:rPr>
        <w:t xml:space="preserve"> </w:t>
      </w:r>
      <w:r w:rsidRPr="00137102">
        <w:rPr>
          <w:b/>
        </w:rPr>
        <w:t>20</w:t>
      </w:r>
      <w:r w:rsidR="003C61C3" w:rsidRPr="00137102">
        <w:rPr>
          <w:b/>
        </w:rPr>
        <w:t>2</w:t>
      </w:r>
      <w:r w:rsidR="00802CFA">
        <w:rPr>
          <w:b/>
        </w:rPr>
        <w:t>4</w:t>
      </w:r>
      <w:r w:rsidRPr="00137102">
        <w:rPr>
          <w:b/>
        </w:rPr>
        <w:t xml:space="preserve"> года. </w:t>
      </w:r>
    </w:p>
    <w:p w:rsidR="00AC54E0" w:rsidRPr="00137102" w:rsidRDefault="00AC54E0" w:rsidP="009301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Pr="00137102">
        <w:rPr>
          <w:b/>
        </w:rPr>
        <w:t>аукциона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060B01">
        <w:rPr>
          <w:b/>
        </w:rPr>
        <w:t>10</w:t>
      </w:r>
      <w:r w:rsidRPr="00137102">
        <w:rPr>
          <w:b/>
        </w:rPr>
        <w:t xml:space="preserve">» </w:t>
      </w:r>
      <w:r w:rsidR="00922C15">
        <w:rPr>
          <w:b/>
        </w:rPr>
        <w:t>декабря</w:t>
      </w:r>
      <w:r w:rsidR="006D0447">
        <w:rPr>
          <w:b/>
        </w:rPr>
        <w:t xml:space="preserve"> </w:t>
      </w:r>
      <w:r w:rsidRPr="00137102">
        <w:rPr>
          <w:b/>
        </w:rPr>
        <w:t>20</w:t>
      </w:r>
      <w:r w:rsidR="003C61C3" w:rsidRPr="00137102">
        <w:rPr>
          <w:b/>
        </w:rPr>
        <w:t>2</w:t>
      </w:r>
      <w:r w:rsidR="00802CFA">
        <w:rPr>
          <w:b/>
        </w:rPr>
        <w:t>4</w:t>
      </w:r>
      <w:r w:rsidRPr="00137102">
        <w:rPr>
          <w:b/>
        </w:rPr>
        <w:t xml:space="preserve"> года. </w:t>
      </w:r>
    </w:p>
    <w:p w:rsidR="00AC54E0" w:rsidRPr="00137102" w:rsidRDefault="00AC54E0" w:rsidP="009301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</w:pPr>
      <w:r w:rsidRPr="00137102">
        <w:rPr>
          <w:b/>
        </w:rPr>
        <w:t>Аукцион в электронной форме состоится</w:t>
      </w:r>
      <w:r w:rsidRPr="00137102">
        <w:t xml:space="preserve"> </w:t>
      </w:r>
      <w:r w:rsidRPr="00137102">
        <w:rPr>
          <w:b/>
        </w:rPr>
        <w:t xml:space="preserve">в </w:t>
      </w:r>
      <w:r w:rsidR="00E969C4">
        <w:rPr>
          <w:b/>
        </w:rPr>
        <w:t>0</w:t>
      </w:r>
      <w:r w:rsidR="00B567E5">
        <w:rPr>
          <w:b/>
        </w:rPr>
        <w:t>5</w:t>
      </w:r>
      <w:r w:rsidR="00A24971">
        <w:rPr>
          <w:b/>
        </w:rPr>
        <w:t xml:space="preserve"> </w:t>
      </w:r>
      <w:r w:rsidRPr="00137102">
        <w:rPr>
          <w:b/>
        </w:rPr>
        <w:t xml:space="preserve">час. </w:t>
      </w:r>
      <w:r w:rsidR="00060B01">
        <w:rPr>
          <w:b/>
        </w:rPr>
        <w:t>0</w:t>
      </w:r>
      <w:r w:rsidRPr="00137102">
        <w:rPr>
          <w:b/>
        </w:rPr>
        <w:t>0  мин. «</w:t>
      </w:r>
      <w:r w:rsidR="00060B01">
        <w:rPr>
          <w:b/>
        </w:rPr>
        <w:t>12</w:t>
      </w:r>
      <w:r w:rsidRPr="00137102">
        <w:rPr>
          <w:b/>
        </w:rPr>
        <w:t xml:space="preserve">» </w:t>
      </w:r>
      <w:r w:rsidR="00922C15">
        <w:rPr>
          <w:b/>
        </w:rPr>
        <w:t>декабря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802CFA">
        <w:rPr>
          <w:b/>
        </w:rPr>
        <w:t>4</w:t>
      </w:r>
      <w:r w:rsidRPr="00137102">
        <w:rPr>
          <w:b/>
        </w:rPr>
        <w:t xml:space="preserve"> года. </w:t>
      </w:r>
    </w:p>
    <w:p w:rsidR="00AC54E0" w:rsidRPr="00407D71" w:rsidRDefault="00AC54E0" w:rsidP="00930179">
      <w:pPr>
        <w:widowControl w:val="0"/>
        <w:ind w:firstLine="284"/>
        <w:jc w:val="both"/>
      </w:pPr>
      <w:r w:rsidRPr="00407D71">
        <w:rPr>
          <w:b/>
        </w:rPr>
        <w:t>Место проведения электронного аукциона: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930179">
      <w:pPr>
        <w:ind w:firstLine="426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lastRenderedPageBreak/>
        <w:t>2.7. Порядок регистрации на электронной площадке и подачи заявки на участие в аукционе в электронной форме.</w:t>
      </w:r>
    </w:p>
    <w:p w:rsidR="00D26C42" w:rsidRDefault="00AC54E0" w:rsidP="00930179">
      <w:pPr>
        <w:autoSpaceDE w:val="0"/>
        <w:autoSpaceDN w:val="0"/>
        <w:adjustRightInd w:val="0"/>
        <w:ind w:firstLine="426"/>
        <w:jc w:val="both"/>
      </w:pPr>
      <w:proofErr w:type="gramStart"/>
      <w:r w:rsidRPr="0087350D">
        <w:rPr>
          <w:color w:val="333333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</w:t>
      </w:r>
      <w:r w:rsidR="001D4415">
        <w:rPr>
          <w:color w:val="333333"/>
        </w:rPr>
        <w:t xml:space="preserve">                   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   </w:t>
      </w:r>
      <w:r w:rsidRPr="0087350D">
        <w:rPr>
          <w:color w:val="333333"/>
        </w:rPr>
        <w:t>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</w:p>
    <w:p w:rsidR="00AC54E0" w:rsidRPr="0087350D" w:rsidRDefault="00AC54E0" w:rsidP="00930179">
      <w:pPr>
        <w:widowControl w:val="0"/>
        <w:ind w:firstLine="426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в ТС осуществляется с применением ЭП как юридическими лицами, так и физическими лицами, в том числе и индивидуальными предпринимателями. 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2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</w:p>
    <w:p w:rsidR="00AC54E0" w:rsidRPr="0087350D" w:rsidRDefault="00AC54E0" w:rsidP="00930179">
      <w:pPr>
        <w:widowControl w:val="0"/>
        <w:ind w:firstLine="426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930179">
      <w:pPr>
        <w:widowControl w:val="0"/>
        <w:ind w:firstLine="284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3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930179">
      <w:pPr>
        <w:widowControl w:val="0"/>
        <w:ind w:firstLine="426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930179">
      <w:pPr>
        <w:widowControl w:val="0"/>
        <w:ind w:firstLine="284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>Подача заявки может осуществляться лично Претендентом в ТС,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8C15C1">
      <w:pPr>
        <w:widowControl w:val="0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8C15C1">
      <w:pPr>
        <w:widowControl w:val="0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746013">
        <w:rPr>
          <w:b/>
          <w:bCs/>
          <w:color w:val="000000"/>
        </w:rPr>
        <w:t xml:space="preserve">– </w:t>
      </w:r>
      <w:proofErr w:type="gramStart"/>
      <w:r w:rsidR="00746013">
        <w:rPr>
          <w:b/>
          <w:bCs/>
          <w:color w:val="000000"/>
        </w:rPr>
        <w:t>п.</w:t>
      </w:r>
      <w:proofErr w:type="gramEnd"/>
      <w:r w:rsidR="00746013">
        <w:rPr>
          <w:b/>
          <w:bCs/>
          <w:color w:val="000000"/>
        </w:rPr>
        <w:t xml:space="preserve"> 1 ст. 16 </w:t>
      </w:r>
      <w:r w:rsidR="00746013" w:rsidRPr="008C433C">
        <w:rPr>
          <w:b/>
          <w:color w:val="000000"/>
        </w:rPr>
        <w:t>Федерального закона от 21.12.2001 № 178-ФЗ «О приватизации государственного и муниципального имущества»</w:t>
      </w:r>
      <w:r w:rsidR="000C26CA">
        <w:rPr>
          <w:bCs/>
          <w:color w:val="000000"/>
        </w:rPr>
        <w:t>);</w:t>
      </w:r>
    </w:p>
    <w:p w:rsidR="000C26CA" w:rsidRDefault="000C26CA" w:rsidP="008C15C1">
      <w:pPr>
        <w:widowControl w:val="0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8C15C1">
      <w:pPr>
        <w:widowControl w:val="0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в ТС лично. </w:t>
      </w:r>
    </w:p>
    <w:p w:rsidR="00AC54E0" w:rsidRDefault="00AC54E0" w:rsidP="008C15C1">
      <w:pPr>
        <w:widowControl w:val="0"/>
        <w:ind w:firstLine="426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4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8C15C1">
      <w:pPr>
        <w:autoSpaceDE w:val="0"/>
        <w:autoSpaceDN w:val="0"/>
        <w:adjustRightInd w:val="0"/>
        <w:ind w:firstLine="426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8C15C1">
      <w:pPr>
        <w:widowControl w:val="0"/>
        <w:ind w:firstLine="426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</w:t>
      </w:r>
      <w:r w:rsidRPr="0087350D">
        <w:rPr>
          <w:b/>
          <w:bCs/>
          <w:color w:val="000000"/>
        </w:rPr>
        <w:lastRenderedPageBreak/>
        <w:t xml:space="preserve">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    </w:t>
      </w:r>
      <w:r w:rsidR="00B73910" w:rsidRPr="00000CEA">
        <w:rPr>
          <w:rFonts w:eastAsia="Calibri"/>
          <w:bCs/>
        </w:rPr>
        <w:t xml:space="preserve">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</w:t>
      </w:r>
      <w:r w:rsidRPr="00240682">
        <w:rPr>
          <w:rFonts w:eastAsia="Calibri"/>
          <w:b/>
          <w:bCs/>
          <w:u w:val="single"/>
        </w:rPr>
        <w:t>реестр владельцев акций либо выписка из него или заверенное печатью юридического лица (при наличии печати) и подписанное его руководителем письмо</w:t>
      </w:r>
      <w:r w:rsidRPr="0087350D">
        <w:rPr>
          <w:rFonts w:eastAsia="Calibri"/>
          <w:bCs/>
        </w:rPr>
        <w:t>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5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</w:p>
    <w:p w:rsidR="00AC54E0" w:rsidRPr="0087350D" w:rsidRDefault="00AC54E0" w:rsidP="008C15C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8C15C1">
      <w:pPr>
        <w:autoSpaceDE w:val="0"/>
        <w:autoSpaceDN w:val="0"/>
        <w:adjustRightInd w:val="0"/>
        <w:ind w:firstLine="426"/>
        <w:jc w:val="both"/>
      </w:pPr>
      <w:r w:rsidRPr="0087350D"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8C15C1">
      <w:pPr>
        <w:ind w:firstLine="284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>участие в любой из процедур, информационное сообщение о которой размещено в ТС</w:t>
      </w:r>
      <w:r w:rsidRPr="0087350D">
        <w:rPr>
          <w:bCs/>
        </w:rPr>
        <w:t>.</w:t>
      </w:r>
    </w:p>
    <w:p w:rsidR="00AC54E0" w:rsidRPr="0087350D" w:rsidRDefault="00AC54E0" w:rsidP="008C15C1">
      <w:pPr>
        <w:autoSpaceDE w:val="0"/>
        <w:autoSpaceDN w:val="0"/>
        <w:adjustRightInd w:val="0"/>
        <w:ind w:firstLine="284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>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аукциона,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8C15C1">
      <w:pPr>
        <w:tabs>
          <w:tab w:val="left" w:pos="0"/>
        </w:tabs>
        <w:ind w:firstLine="426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8C15C1">
      <w:pPr>
        <w:tabs>
          <w:tab w:val="left" w:pos="0"/>
        </w:tabs>
        <w:ind w:firstLine="284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средств в размере задатка;</w:t>
      </w:r>
    </w:p>
    <w:p w:rsidR="00705F0D" w:rsidRDefault="00705F0D" w:rsidP="008C15C1">
      <w:pPr>
        <w:tabs>
          <w:tab w:val="left" w:pos="0"/>
        </w:tabs>
        <w:ind w:firstLine="284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8C15C1">
      <w:pPr>
        <w:tabs>
          <w:tab w:val="left" w:pos="0"/>
        </w:tabs>
        <w:ind w:firstLine="284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8C15C1">
      <w:pPr>
        <w:tabs>
          <w:tab w:val="left" w:pos="0"/>
        </w:tabs>
        <w:ind w:firstLine="284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8C15C1">
      <w:pPr>
        <w:tabs>
          <w:tab w:val="left" w:pos="0"/>
        </w:tabs>
        <w:ind w:firstLine="284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6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3F551F">
      <w:pPr>
        <w:tabs>
          <w:tab w:val="left" w:pos="54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3F551F">
      <w:pPr>
        <w:tabs>
          <w:tab w:val="left" w:pos="54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3F551F">
      <w:pPr>
        <w:tabs>
          <w:tab w:val="left" w:pos="54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4716B6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>об определении участников аукциона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аукциона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  <w:r>
        <w:rPr>
          <w:rFonts w:eastAsia="Calibri"/>
        </w:rPr>
        <w:t xml:space="preserve">Протокол об определении участников аукциона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в ГИС Торги, Организатором торгов информация о допуске Претендентов к участию в аукционе размещается на </w:t>
      </w:r>
      <w:r w:rsidR="001E246D" w:rsidRPr="00E123DD">
        <w:t xml:space="preserve">официальном сайте </w:t>
      </w:r>
      <w:r w:rsidR="00240682">
        <w:t>Администрации ЗАТО г.</w:t>
      </w:r>
      <w:r w:rsidR="001E246D" w:rsidRPr="00E123DD">
        <w:t xml:space="preserve"> Железногорск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="00A24971">
        <w:t>.ru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lastRenderedPageBreak/>
        <w:tab/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8C15C1">
      <w:pPr>
        <w:tabs>
          <w:tab w:val="left" w:pos="426"/>
        </w:tabs>
        <w:ind w:firstLine="567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аукционе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 xml:space="preserve">ретендент вносит задаток в размере </w:t>
      </w:r>
      <w:r w:rsidR="00A14A80">
        <w:rPr>
          <w:rFonts w:eastAsia="Calibri"/>
        </w:rPr>
        <w:t>1</w:t>
      </w:r>
      <w:r w:rsidRPr="00E77CAD">
        <w:rPr>
          <w:rFonts w:eastAsia="Calibri"/>
        </w:rPr>
        <w:t xml:space="preserve">0 процентов начальной цены,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8C15C1">
      <w:pPr>
        <w:tabs>
          <w:tab w:val="left" w:pos="426"/>
        </w:tabs>
        <w:ind w:firstLine="567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060B01">
        <w:rPr>
          <w:b/>
        </w:rPr>
        <w:t>30 0</w:t>
      </w:r>
      <w:r w:rsidR="003F551F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060B01">
        <w:rPr>
          <w:rFonts w:eastAsia="Calibri"/>
          <w:b/>
        </w:rPr>
        <w:t>тридцат</w:t>
      </w:r>
      <w:r w:rsidR="006D0447">
        <w:rPr>
          <w:rFonts w:eastAsia="Calibri"/>
          <w:b/>
        </w:rPr>
        <w:t>ь</w:t>
      </w:r>
      <w:r w:rsidR="00802CFA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 xml:space="preserve">тысяч) рублей </w:t>
      </w:r>
      <w:r w:rsidR="003F551F">
        <w:rPr>
          <w:rFonts w:eastAsia="Calibri"/>
          <w:b/>
        </w:rPr>
        <w:t>0</w:t>
      </w:r>
      <w:r w:rsidR="004A7172" w:rsidRPr="00CC7BB3">
        <w:rPr>
          <w:rFonts w:eastAsia="Calibri"/>
          <w:b/>
        </w:rPr>
        <w:t>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8C15C1">
      <w:pPr>
        <w:tabs>
          <w:tab w:val="left" w:pos="426"/>
        </w:tabs>
        <w:ind w:firstLine="567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>Задаток для участия в аукционе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8C15C1">
      <w:pPr>
        <w:tabs>
          <w:tab w:val="left" w:pos="426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аукциона, указанного в настоящем информационном сообщении.</w:t>
      </w:r>
    </w:p>
    <w:p w:rsidR="007927DC" w:rsidRDefault="00AC54E0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аукционе,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>дня определения участников аукциона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 посредством штатного интерфейса</w:t>
      </w:r>
      <w:proofErr w:type="gramEnd"/>
      <w:r w:rsidR="00755F54">
        <w:rPr>
          <w:rFonts w:eastAsia="Calibri"/>
          <w:bCs/>
        </w:rPr>
        <w:t xml:space="preserve">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аукциона,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аукциона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  <w:b/>
        </w:rPr>
      </w:pPr>
      <w:r w:rsidRPr="009D3B08">
        <w:rPr>
          <w:rFonts w:eastAsia="Calibri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РАБОЧИЙ день по факту поступления средств по банковским выпискам </w:t>
      </w:r>
      <w:r w:rsidRPr="009D3B08">
        <w:rPr>
          <w:rFonts w:eastAsia="Calibri"/>
          <w:i/>
          <w:iCs/>
        </w:rPr>
        <w:t>(т.е. банковский день и рабочий день).</w:t>
      </w:r>
    </w:p>
    <w:p w:rsidR="009D3B08" w:rsidRPr="009D3B08" w:rsidRDefault="009D3B08" w:rsidP="008C15C1">
      <w:pPr>
        <w:pStyle w:val="4"/>
        <w:shd w:val="clear" w:color="auto" w:fill="FFFFFF"/>
        <w:spacing w:before="0" w:after="0"/>
        <w:ind w:firstLine="426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7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5246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8C15C1">
      <w:pPr>
        <w:tabs>
          <w:tab w:val="left" w:pos="540"/>
        </w:tabs>
        <w:ind w:firstLine="426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аукционе </w:t>
      </w:r>
      <w:r w:rsidR="004A7172">
        <w:t xml:space="preserve">по продаже </w:t>
      </w:r>
      <w:r w:rsidR="00060B01">
        <w:t>гаража № 38 ГК № 78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8C15C1">
      <w:pPr>
        <w:tabs>
          <w:tab w:val="left" w:pos="540"/>
        </w:tabs>
        <w:ind w:firstLine="284"/>
        <w:jc w:val="both"/>
        <w:outlineLvl w:val="0"/>
      </w:pPr>
      <w:r w:rsidRPr="0087350D">
        <w:rPr>
          <w:rFonts w:eastAsia="Calibri"/>
        </w:rPr>
        <w:lastRenderedPageBreak/>
        <w:t xml:space="preserve">Образец платежного поручения приведен на электронной площадке по адресу: </w:t>
      </w:r>
      <w:hyperlink r:id="rId18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  <w:r w:rsidR="00A24971">
        <w:t>.</w:t>
      </w:r>
    </w:p>
    <w:p w:rsidR="00D20BF8" w:rsidRPr="00D20BF8" w:rsidRDefault="00D20BF8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9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8C15C1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651632" w:rsidRDefault="009C6D0F" w:rsidP="009C6D0F">
      <w:pPr>
        <w:autoSpaceDE w:val="0"/>
        <w:autoSpaceDN w:val="0"/>
        <w:adjustRightInd w:val="0"/>
        <w:jc w:val="both"/>
        <w:rPr>
          <w:rFonts w:eastAsia="Calibri"/>
        </w:rPr>
      </w:pPr>
      <w:r w:rsidRPr="00651632">
        <w:rPr>
          <w:rFonts w:eastAsia="Calibri"/>
        </w:rPr>
        <w:t xml:space="preserve">        </w:t>
      </w:r>
      <w:proofErr w:type="gramStart"/>
      <w:r w:rsidR="00AC54E0" w:rsidRPr="00651632">
        <w:rPr>
          <w:rFonts w:eastAsia="Calibri"/>
        </w:rPr>
        <w:t>а) участникам аукциона, за исключением его победителя,</w:t>
      </w:r>
      <w:r w:rsidRPr="00651632">
        <w:t xml:space="preserve"> либо лица, признанного единственным участником аукциона, в случае, установленном в </w:t>
      </w:r>
      <w:hyperlink r:id="rId20" w:history="1">
        <w:r w:rsidRPr="00651632">
          <w:t>абзаце втором пункта 3</w:t>
        </w:r>
      </w:hyperlink>
      <w:r w:rsidRPr="00651632">
        <w:t xml:space="preserve"> статьи 18 Федерального закона от 21.12.2001 № 178-ФЗ «О приватизации государственного и муниципального имущества», в течение пяти дней с даты подведения итогов аукциона </w:t>
      </w:r>
      <w:r w:rsidR="00AC54E0" w:rsidRPr="00651632">
        <w:rPr>
          <w:rFonts w:eastAsia="Calibri"/>
        </w:rPr>
        <w:t>- в течение 5 календарных дней со дня подведения итогов аукциона в электронной форме;</w:t>
      </w:r>
      <w:proofErr w:type="gramEnd"/>
    </w:p>
    <w:p w:rsidR="00AC54E0" w:rsidRPr="00651632" w:rsidRDefault="00AC54E0" w:rsidP="00240682">
      <w:pPr>
        <w:tabs>
          <w:tab w:val="left" w:pos="540"/>
        </w:tabs>
        <w:ind w:firstLine="426"/>
        <w:jc w:val="both"/>
        <w:outlineLvl w:val="0"/>
        <w:rPr>
          <w:rFonts w:eastAsia="Calibri"/>
        </w:rPr>
      </w:pPr>
      <w:r w:rsidRPr="00651632">
        <w:rPr>
          <w:rFonts w:eastAsia="Calibri"/>
        </w:rPr>
        <w:t xml:space="preserve">б) </w:t>
      </w:r>
      <w:r w:rsidR="004521BA" w:rsidRPr="00651632">
        <w:rPr>
          <w:rFonts w:eastAsia="Calibri"/>
        </w:rPr>
        <w:t>П</w:t>
      </w:r>
      <w:r w:rsidRPr="00651632">
        <w:rPr>
          <w:rFonts w:eastAsia="Calibri"/>
        </w:rPr>
        <w:t xml:space="preserve">ретендентам, не допущенным к участию в аукционе, - в течение 5 календарных дней со дня подписания протокола о признании </w:t>
      </w:r>
      <w:r w:rsidR="004521BA" w:rsidRPr="00651632">
        <w:rPr>
          <w:rFonts w:eastAsia="Calibri"/>
        </w:rPr>
        <w:t>П</w:t>
      </w:r>
      <w:r w:rsidRPr="00651632">
        <w:rPr>
          <w:rFonts w:eastAsia="Calibri"/>
        </w:rPr>
        <w:t>ретендентов участниками аукциона.</w:t>
      </w:r>
    </w:p>
    <w:p w:rsidR="008A1A46" w:rsidRPr="00651632" w:rsidRDefault="00AC54E0" w:rsidP="00240682">
      <w:pPr>
        <w:autoSpaceDE w:val="0"/>
        <w:autoSpaceDN w:val="0"/>
        <w:adjustRightInd w:val="0"/>
        <w:ind w:firstLine="426"/>
        <w:jc w:val="both"/>
      </w:pPr>
      <w:r w:rsidRPr="00651632">
        <w:rPr>
          <w:rFonts w:eastAsia="Calibri"/>
        </w:rPr>
        <w:t xml:space="preserve">в) </w:t>
      </w:r>
      <w:r w:rsidR="00465DEF" w:rsidRPr="00651632">
        <w:t xml:space="preserve">в случае отзыва Претендентом в установленном порядке заявки до даты окончания </w:t>
      </w:r>
      <w:r w:rsidR="001B6E7C" w:rsidRPr="00651632">
        <w:t xml:space="preserve">срока </w:t>
      </w:r>
      <w:r w:rsidR="00465DEF" w:rsidRPr="00651632">
        <w:t xml:space="preserve">приема заявок </w:t>
      </w:r>
      <w:r w:rsidR="008A1A46" w:rsidRPr="00651632">
        <w:t>прекращение блокирования денежных сре</w:t>
      </w:r>
      <w:proofErr w:type="gramStart"/>
      <w:r w:rsidR="008A1A46" w:rsidRPr="00651632">
        <w:t>дств в р</w:t>
      </w:r>
      <w:proofErr w:type="gramEnd"/>
      <w:r w:rsidR="008A1A46" w:rsidRPr="00651632">
        <w:t>азмере задатка осуществляется Оператором в установленные Регламентом электронной площадки «</w:t>
      </w:r>
      <w:proofErr w:type="spellStart"/>
      <w:r w:rsidR="008A1A46" w:rsidRPr="00651632">
        <w:t>Сбербанк-АСТ</w:t>
      </w:r>
      <w:proofErr w:type="spellEnd"/>
      <w:r w:rsidR="008A1A46" w:rsidRPr="00651632">
        <w:t>» сроки</w:t>
      </w:r>
      <w:r w:rsidR="00465DEF" w:rsidRPr="00651632">
        <w:t xml:space="preserve">. </w:t>
      </w:r>
    </w:p>
    <w:p w:rsidR="00465DEF" w:rsidRPr="00651632" w:rsidRDefault="008A1A46" w:rsidP="00240682">
      <w:pPr>
        <w:autoSpaceDE w:val="0"/>
        <w:autoSpaceDN w:val="0"/>
        <w:adjustRightInd w:val="0"/>
        <w:ind w:firstLine="426"/>
        <w:jc w:val="both"/>
      </w:pPr>
      <w:r w:rsidRPr="00651632">
        <w:t>г) в</w:t>
      </w:r>
      <w:r w:rsidR="00465DEF" w:rsidRPr="00651632">
        <w:t xml:space="preserve"> случае отзыва </w:t>
      </w:r>
      <w:r w:rsidR="001E246D" w:rsidRPr="00651632">
        <w:t>П</w:t>
      </w:r>
      <w:r w:rsidR="00465DEF" w:rsidRPr="00651632">
        <w:t xml:space="preserve">ретендентом заявки позднее даты окончания приема заявок </w:t>
      </w:r>
      <w:r w:rsidRPr="00651632"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 w:rsidRPr="00651632">
        <w:t>.</w:t>
      </w:r>
    </w:p>
    <w:p w:rsidR="00AC54E0" w:rsidRPr="00651632" w:rsidRDefault="00AC54E0" w:rsidP="00240682">
      <w:pPr>
        <w:tabs>
          <w:tab w:val="left" w:pos="540"/>
        </w:tabs>
        <w:ind w:firstLine="284"/>
        <w:jc w:val="both"/>
        <w:outlineLvl w:val="0"/>
        <w:rPr>
          <w:rFonts w:eastAsia="Calibri"/>
        </w:rPr>
      </w:pPr>
      <w:r w:rsidRPr="00651632">
        <w:rPr>
          <w:rFonts w:eastAsia="Calibri"/>
        </w:rPr>
        <w:t xml:space="preserve"> Задаток, перечисленный победителем аукциона, засчитывается в сумму платежа по договору купли-продажи.</w:t>
      </w:r>
    </w:p>
    <w:p w:rsidR="00AC54E0" w:rsidRPr="00651632" w:rsidRDefault="00AC54E0" w:rsidP="00240682">
      <w:pPr>
        <w:tabs>
          <w:tab w:val="left" w:pos="540"/>
        </w:tabs>
        <w:ind w:firstLine="426"/>
        <w:jc w:val="both"/>
        <w:outlineLvl w:val="0"/>
        <w:rPr>
          <w:rFonts w:eastAsia="Calibri"/>
        </w:rPr>
      </w:pPr>
      <w:proofErr w:type="gramStart"/>
      <w:r w:rsidRPr="00651632">
        <w:rPr>
          <w:rFonts w:eastAsia="Calibri"/>
        </w:rPr>
        <w:t xml:space="preserve">При уклонении или отказе победителя аукциона </w:t>
      </w:r>
      <w:r w:rsidR="009C6D0F" w:rsidRPr="00651632">
        <w:t xml:space="preserve">либо лица, признанного единственным участником аукциона, в случае, установленном в </w:t>
      </w:r>
      <w:hyperlink r:id="rId21" w:history="1">
        <w:r w:rsidR="009C6D0F" w:rsidRPr="00651632">
          <w:t>абзаце втором пункта 3</w:t>
        </w:r>
      </w:hyperlink>
      <w:r w:rsidR="009C6D0F" w:rsidRPr="00651632">
        <w:t xml:space="preserve"> статьи 18 Федерального закона от 21.12.2001 № 178-ФЗ «О приватизации государственного и муниципального имущества», </w:t>
      </w:r>
      <w:r w:rsidRPr="00651632">
        <w:rPr>
          <w:rFonts w:eastAsia="Calibri"/>
        </w:rPr>
        <w:t>от заключения в установленный срок договора купли-продажи имущества</w:t>
      </w:r>
      <w:r w:rsidR="009C6D0F" w:rsidRPr="00651632">
        <w:rPr>
          <w:rFonts w:eastAsia="Calibri"/>
        </w:rPr>
        <w:t xml:space="preserve"> </w:t>
      </w:r>
      <w:r w:rsidRPr="00651632">
        <w:rPr>
          <w:rFonts w:eastAsia="Calibri"/>
        </w:rPr>
        <w:t xml:space="preserve"> задаток ему не возвращается, и он утрачивает право на заключение указанного договора.</w:t>
      </w:r>
      <w:proofErr w:type="gramEnd"/>
    </w:p>
    <w:p w:rsidR="00AC54E0" w:rsidRPr="00651632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240682">
      <w:pPr>
        <w:widowControl w:val="0"/>
        <w:ind w:firstLine="426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240682">
      <w:pPr>
        <w:widowControl w:val="0"/>
        <w:tabs>
          <w:tab w:val="left" w:pos="851"/>
        </w:tabs>
        <w:ind w:firstLine="426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240682">
        <w:t>Администрации ЗАТО г.</w:t>
      </w:r>
      <w:r w:rsidR="00E123DD" w:rsidRPr="00E123DD">
        <w:t xml:space="preserve"> Железногорск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802CFA">
        <w:t>4</w:t>
      </w:r>
      <w:r w:rsidR="00A24971">
        <w:t>/</w:t>
      </w:r>
      <w:r w:rsidR="00060B01">
        <w:t>но</w:t>
      </w:r>
      <w:r w:rsidR="00922C15">
        <w:t>ябрь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  <w:proofErr w:type="gramEnd"/>
    </w:p>
    <w:p w:rsidR="00AC54E0" w:rsidRPr="0087350D" w:rsidRDefault="00AC54E0" w:rsidP="00240682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240682">
      <w:pPr>
        <w:tabs>
          <w:tab w:val="left" w:pos="851"/>
        </w:tabs>
        <w:ind w:firstLine="426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240682">
      <w:pPr>
        <w:tabs>
          <w:tab w:val="left" w:pos="851"/>
        </w:tabs>
        <w:ind w:firstLine="426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</w:t>
      </w:r>
      <w:r w:rsidRPr="0087350D">
        <w:rPr>
          <w:rFonts w:eastAsia="Calibri"/>
        </w:rPr>
        <w:lastRenderedPageBreak/>
        <w:t>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746013" w:rsidRPr="00EF48A8" w:rsidRDefault="00746013" w:rsidP="00746013">
      <w:pPr>
        <w:pStyle w:val="36"/>
        <w:shd w:val="clear" w:color="auto" w:fill="FFFFFF"/>
        <w:ind w:firstLine="426"/>
        <w:jc w:val="both"/>
        <w:rPr>
          <w:b/>
          <w:sz w:val="24"/>
          <w:szCs w:val="24"/>
        </w:rPr>
      </w:pPr>
      <w:r w:rsidRPr="00EF48A8">
        <w:rPr>
          <w:rFonts w:eastAsia="Calibri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 </w:t>
      </w:r>
      <w:r w:rsidRPr="00EF48A8">
        <w:rPr>
          <w:sz w:val="24"/>
          <w:szCs w:val="24"/>
        </w:rPr>
        <w:t xml:space="preserve">Проведение осмотра объекта осуществляется всеми заинтересованными лицами </w:t>
      </w:r>
      <w:r w:rsidR="001139AC">
        <w:rPr>
          <w:sz w:val="24"/>
          <w:szCs w:val="24"/>
        </w:rPr>
        <w:t>самостоятельно</w:t>
      </w:r>
      <w:r w:rsidRPr="00EF48A8">
        <w:rPr>
          <w:sz w:val="24"/>
          <w:szCs w:val="24"/>
        </w:rPr>
        <w:t>.</w:t>
      </w:r>
    </w:p>
    <w:p w:rsidR="00AC54E0" w:rsidRPr="00641C42" w:rsidRDefault="00AC54E0" w:rsidP="008C15C1">
      <w:pPr>
        <w:ind w:firstLine="426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>, условиями договора купли-продажи имущества</w:t>
      </w:r>
      <w:r w:rsidR="00A14A80">
        <w:t xml:space="preserve"> </w:t>
      </w:r>
      <w:r w:rsidR="00143370">
        <w:t>Объекта</w:t>
      </w:r>
      <w:r w:rsidRPr="00641C42">
        <w:t xml:space="preserve"> можно ознакомиться в КУМИ </w:t>
      </w:r>
      <w:r w:rsidR="00641C42" w:rsidRPr="00641C42">
        <w:t>Администрации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39AC" w:rsidRPr="0087350D" w:rsidRDefault="001139AC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BB2137">
      <w:pPr>
        <w:widowControl w:val="0"/>
        <w:tabs>
          <w:tab w:val="num" w:pos="0"/>
          <w:tab w:val="left" w:pos="426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BB2137" w:rsidP="00BB2137">
      <w:pPr>
        <w:widowControl w:val="0"/>
        <w:tabs>
          <w:tab w:val="left" w:pos="426"/>
        </w:tabs>
        <w:jc w:val="both"/>
      </w:pPr>
      <w:r>
        <w:t xml:space="preserve">       </w:t>
      </w:r>
      <w:r w:rsidR="00AC54E0" w:rsidRPr="0087350D">
        <w:t>Аукцион</w:t>
      </w:r>
      <w:r w:rsidR="00AC54E0"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>о проведении то</w:t>
      </w:r>
      <w:r>
        <w:rPr>
          <w:color w:val="000000"/>
        </w:rPr>
        <w:t xml:space="preserve">ргов на электронной площадке – </w:t>
      </w:r>
      <w:r w:rsidR="00AC54E0" w:rsidRPr="0087350D">
        <w:rPr>
          <w:color w:val="000000"/>
        </w:rPr>
        <w:t>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BB2137">
      <w:pPr>
        <w:widowControl w:val="0"/>
        <w:tabs>
          <w:tab w:val="left" w:pos="426"/>
        </w:tabs>
        <w:ind w:firstLine="426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</w:t>
      </w:r>
      <w:r w:rsidRPr="00D214BE">
        <w:rPr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</w:t>
      </w:r>
      <w:r w:rsidR="000D46FA">
        <w:t xml:space="preserve">настоящем </w:t>
      </w:r>
      <w:r w:rsidRPr="0087350D">
        <w:t xml:space="preserve">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>и составляет</w:t>
      </w:r>
      <w:r w:rsidR="00355A62">
        <w:rPr>
          <w:rFonts w:eastAsia="Calibri"/>
        </w:rPr>
        <w:t xml:space="preserve"> </w:t>
      </w:r>
      <w:r w:rsidR="00060B01">
        <w:rPr>
          <w:rFonts w:eastAsia="Calibri"/>
          <w:b/>
        </w:rPr>
        <w:t>10</w:t>
      </w:r>
      <w:r w:rsidR="008F7B0E">
        <w:rPr>
          <w:b/>
        </w:rPr>
        <w:t xml:space="preserve"> 0</w:t>
      </w:r>
      <w:r w:rsidR="009F1435" w:rsidRPr="009F1435">
        <w:rPr>
          <w:rFonts w:eastAsia="Calibri"/>
          <w:b/>
        </w:rPr>
        <w:t>00 (</w:t>
      </w:r>
      <w:r w:rsidR="00060B01">
        <w:rPr>
          <w:rFonts w:eastAsia="Calibri"/>
          <w:b/>
        </w:rPr>
        <w:t>дес</w:t>
      </w:r>
      <w:r w:rsidR="00917462">
        <w:rPr>
          <w:rFonts w:eastAsia="Calibri"/>
          <w:b/>
        </w:rPr>
        <w:t>ять</w:t>
      </w:r>
      <w:r w:rsidR="002761B8">
        <w:rPr>
          <w:rFonts w:eastAsia="Calibri"/>
          <w:b/>
        </w:rPr>
        <w:t xml:space="preserve"> </w:t>
      </w:r>
      <w:r w:rsidR="009F1435" w:rsidRPr="009F1435">
        <w:rPr>
          <w:rFonts w:eastAsia="Calibri"/>
          <w:b/>
        </w:rPr>
        <w:t>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Предложением о цене признается подписанное </w:t>
      </w:r>
      <w:r w:rsidR="00724902">
        <w:rPr>
          <w:rFonts w:eastAsia="Calibri"/>
        </w:rPr>
        <w:t>ЭП</w:t>
      </w:r>
      <w:r w:rsidRPr="0087350D">
        <w:rPr>
          <w:rFonts w:eastAsia="Calibri"/>
        </w:rPr>
        <w:t xml:space="preserve"> </w:t>
      </w:r>
      <w:r w:rsidR="00724902">
        <w:rPr>
          <w:rFonts w:eastAsia="Calibri"/>
        </w:rPr>
        <w:t>у</w:t>
      </w:r>
      <w:r w:rsidRPr="0087350D">
        <w:rPr>
          <w:rFonts w:eastAsia="Calibri"/>
        </w:rPr>
        <w:t xml:space="preserve">частника предложение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E85A71" w:rsidRPr="0087350D" w:rsidRDefault="00AC54E0" w:rsidP="008C15C1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</w:t>
      </w:r>
      <w:r w:rsidR="00055446">
        <w:rPr>
          <w:rFonts w:eastAsia="Calibri"/>
        </w:rPr>
        <w:t>подачи предложений о цене</w:t>
      </w:r>
      <w:r w:rsidRPr="0087350D">
        <w:rPr>
          <w:rFonts w:eastAsia="Calibri"/>
        </w:rPr>
        <w:t xml:space="preserve">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</w:t>
      </w:r>
      <w:r w:rsidR="00E85A71">
        <w:rPr>
          <w:rFonts w:eastAsia="Calibri"/>
        </w:rPr>
        <w:t xml:space="preserve">и аукциона </w:t>
      </w:r>
      <w:r w:rsidRPr="0087350D">
        <w:rPr>
          <w:rFonts w:eastAsia="Calibri"/>
        </w:rPr>
        <w:t xml:space="preserve"> </w:t>
      </w:r>
      <w:r w:rsidR="00E85A71">
        <w:rPr>
          <w:rFonts w:eastAsia="Calibri"/>
        </w:rPr>
        <w:t>имеют возможность сделать предложение о цене, равное</w:t>
      </w:r>
      <w:r w:rsidRPr="0087350D">
        <w:rPr>
          <w:rFonts w:eastAsia="Calibri"/>
        </w:rPr>
        <w:t xml:space="preserve"> начальной цене</w:t>
      </w:r>
      <w:r w:rsidR="00E85A71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</w:t>
      </w:r>
      <w:r w:rsidR="00E85A71">
        <w:rPr>
          <w:rFonts w:eastAsia="Calibri"/>
        </w:rPr>
        <w:t xml:space="preserve"> </w:t>
      </w:r>
      <w:r w:rsidR="00E85A71" w:rsidRPr="0087350D">
        <w:rPr>
          <w:rFonts w:eastAsia="Calibri"/>
        </w:rPr>
        <w:t xml:space="preserve">не поступило ни одного предложения о цене имущества, то аукцион с помощью программно-аппаратных средств </w:t>
      </w:r>
      <w:r w:rsidR="00E85A71">
        <w:rPr>
          <w:rFonts w:eastAsia="Calibri"/>
        </w:rPr>
        <w:t>УТП</w:t>
      </w:r>
      <w:r w:rsidR="00E85A71" w:rsidRPr="0087350D">
        <w:rPr>
          <w:rFonts w:eastAsia="Calibri"/>
        </w:rPr>
        <w:t xml:space="preserve"> завершается. В </w:t>
      </w:r>
      <w:proofErr w:type="gramStart"/>
      <w:r w:rsidR="00E85A71" w:rsidRPr="0087350D">
        <w:rPr>
          <w:rFonts w:eastAsia="Calibri"/>
        </w:rPr>
        <w:t>этом</w:t>
      </w:r>
      <w:proofErr w:type="gramEnd"/>
      <w:r w:rsidR="00E85A71" w:rsidRPr="0087350D">
        <w:rPr>
          <w:rFonts w:eastAsia="Calibri"/>
        </w:rPr>
        <w:t xml:space="preserve"> случае</w:t>
      </w:r>
      <w:r w:rsidR="00E85A71">
        <w:rPr>
          <w:rFonts w:eastAsia="Calibri"/>
        </w:rPr>
        <w:t>,</w:t>
      </w:r>
      <w:r w:rsidR="00E85A71" w:rsidRPr="0087350D">
        <w:rPr>
          <w:rFonts w:eastAsia="Calibri"/>
        </w:rPr>
        <w:t xml:space="preserve"> временем окончания представления предложений о цене имущества является время завершения аукциона.</w:t>
      </w:r>
    </w:p>
    <w:p w:rsidR="00AC54E0" w:rsidRDefault="00E85A71" w:rsidP="008C15C1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в течение указанного времени</w:t>
      </w:r>
      <w:r w:rsidR="00AC54E0" w:rsidRPr="0087350D">
        <w:rPr>
          <w:rFonts w:eastAsia="Calibri"/>
        </w:rPr>
        <w:t xml:space="preserve">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="00AC54E0"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="00AC54E0" w:rsidRPr="0087350D">
        <w:rPr>
          <w:rFonts w:eastAsia="Calibri"/>
        </w:rPr>
        <w:t xml:space="preserve"> цене имущества продлевается на </w:t>
      </w:r>
      <w:r w:rsidR="00AC54E0" w:rsidRPr="0087350D">
        <w:rPr>
          <w:rFonts w:eastAsia="Calibri"/>
          <w:b/>
        </w:rPr>
        <w:t>10</w:t>
      </w:r>
      <w:r w:rsidR="00AC54E0"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="00AC54E0" w:rsidRPr="0087350D">
        <w:rPr>
          <w:rFonts w:eastAsia="Calibri"/>
          <w:b/>
        </w:rPr>
        <w:t>10</w:t>
      </w:r>
      <w:r w:rsidR="00AC54E0" w:rsidRPr="0087350D">
        <w:rPr>
          <w:rFonts w:eastAsia="Calibri"/>
        </w:rPr>
        <w:t xml:space="preserve"> (десят</w:t>
      </w:r>
      <w:r>
        <w:rPr>
          <w:rFonts w:eastAsia="Calibri"/>
        </w:rPr>
        <w:t>и</w:t>
      </w:r>
      <w:r w:rsidR="00AC54E0" w:rsidRPr="0087350D">
        <w:rPr>
          <w:rFonts w:eastAsia="Calibri"/>
        </w:rPr>
        <w:t xml:space="preserve">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</w:t>
      </w:r>
      <w:r>
        <w:rPr>
          <w:rFonts w:eastAsia="Calibri"/>
        </w:rPr>
        <w:t>УТП</w:t>
      </w:r>
      <w:r w:rsidR="00AC54E0" w:rsidRPr="0087350D">
        <w:rPr>
          <w:rFonts w:eastAsia="Calibri"/>
        </w:rPr>
        <w:t xml:space="preserve"> завершается</w:t>
      </w:r>
      <w:r>
        <w:rPr>
          <w:rFonts w:eastAsia="Calibri"/>
        </w:rPr>
        <w:t>.</w:t>
      </w:r>
    </w:p>
    <w:p w:rsidR="00F77178" w:rsidRPr="0087350D" w:rsidRDefault="00F77178" w:rsidP="008C15C1">
      <w:pPr>
        <w:ind w:firstLine="426"/>
        <w:jc w:val="both"/>
        <w:rPr>
          <w:rFonts w:eastAsia="Calibri"/>
        </w:rPr>
      </w:pPr>
      <w:r>
        <w:rPr>
          <w:rFonts w:eastAsia="Calibri"/>
        </w:rPr>
        <w:t>Срок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последнего (лучшего) предложения (или с начала подачи предложений о цене), отображается в закрытой части УТП как расчетное время, оставшееся до окончания торгов в минутах.</w:t>
      </w:r>
    </w:p>
    <w:p w:rsidR="00AC54E0" w:rsidRPr="0087350D" w:rsidRDefault="00AC54E0" w:rsidP="008C15C1">
      <w:pPr>
        <w:ind w:firstLine="426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 xml:space="preserve">В ходе проведения </w:t>
      </w:r>
      <w:r w:rsidR="00E85A71">
        <w:rPr>
          <w:rFonts w:eastAsia="Calibri"/>
        </w:rPr>
        <w:t>торговой сессии</w:t>
      </w:r>
      <w:r w:rsidRPr="0087350D">
        <w:rPr>
          <w:rFonts w:eastAsia="Calibri"/>
        </w:rPr>
        <w:t xml:space="preserve"> Оператор программными средствами </w:t>
      </w:r>
      <w:r w:rsidR="00E85A71">
        <w:rPr>
          <w:rFonts w:eastAsia="Calibri"/>
        </w:rPr>
        <w:t>УТП</w:t>
      </w:r>
      <w:r w:rsidRPr="0087350D">
        <w:rPr>
          <w:rFonts w:eastAsia="Calibri"/>
        </w:rPr>
        <w:t xml:space="preserve"> обеспечивает отклонение предложения о цене в момент его поступления и соответствующее уведомление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в случае если: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BB2137">
      <w:pPr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8C15C1" w:rsidP="00BB2137">
      <w:pPr>
        <w:ind w:firstLine="142"/>
        <w:jc w:val="both"/>
      </w:pPr>
      <w:r>
        <w:t xml:space="preserve">   </w:t>
      </w:r>
      <w:r w:rsidR="00AC54E0" w:rsidRPr="0087350D">
        <w:t xml:space="preserve">Победителем аукциона признается </w:t>
      </w:r>
      <w:r w:rsidR="00053585">
        <w:t>У</w:t>
      </w:r>
      <w:r w:rsidR="00AC54E0" w:rsidRPr="0087350D">
        <w:t>частник, предложивший наибол</w:t>
      </w:r>
      <w:r w:rsidR="00E85A71">
        <w:t>ее высоку</w:t>
      </w:r>
      <w:r w:rsidR="00AC54E0" w:rsidRPr="0087350D">
        <w:t>ю цену имущества.</w:t>
      </w:r>
    </w:p>
    <w:p w:rsidR="00AC54E0" w:rsidRPr="0087350D" w:rsidRDefault="00AC54E0" w:rsidP="00BB2137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BB2137">
      <w:pPr>
        <w:tabs>
          <w:tab w:val="left" w:pos="284"/>
        </w:tabs>
        <w:ind w:firstLine="142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 w:rsidRPr="0087350D">
        <w:rPr>
          <w:rFonts w:eastAsia="Calibri"/>
        </w:rPr>
        <w:t>- </w:t>
      </w:r>
      <w:r w:rsidR="008F7B0E" w:rsidRPr="008F7B0E">
        <w:rPr>
          <w:rFonts w:eastAsia="Calibri"/>
        </w:rPr>
        <w:t>лицо, признанное единственным участником аукциона, отказалось от заключения договора купли-продажи</w:t>
      </w:r>
      <w:r w:rsidRPr="0087350D">
        <w:rPr>
          <w:rFonts w:eastAsia="Calibri"/>
        </w:rPr>
        <w:t>;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начальной цене имущества.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BB2137">
      <w:pPr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аукциона </w:t>
      </w:r>
      <w:r w:rsidR="00CA6D41">
        <w:rPr>
          <w:rFonts w:eastAsia="Calibri"/>
        </w:rPr>
        <w:t xml:space="preserve">Оператором </w:t>
      </w:r>
      <w:r w:rsidR="00053585">
        <w:rPr>
          <w:rFonts w:eastAsia="Calibri"/>
        </w:rPr>
        <w:t>П</w:t>
      </w:r>
      <w:r w:rsidRPr="0087350D">
        <w:rPr>
          <w:rFonts w:eastAsia="Calibri"/>
        </w:rPr>
        <w:t>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BB2137">
      <w:pPr>
        <w:tabs>
          <w:tab w:val="left" w:pos="142"/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BB2137" w:rsidP="00BB2137">
      <w:pPr>
        <w:tabs>
          <w:tab w:val="left" w:pos="142"/>
          <w:tab w:val="left" w:pos="284"/>
        </w:tabs>
        <w:autoSpaceDE w:val="0"/>
        <w:autoSpaceDN w:val="0"/>
        <w:adjustRightInd w:val="0"/>
        <w:ind w:firstLine="142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="00AC54E0" w:rsidRPr="0087350D">
        <w:rPr>
          <w:rFonts w:eastAsia="Calibri"/>
        </w:rPr>
        <w:t>- цена сделки;</w:t>
      </w:r>
    </w:p>
    <w:p w:rsidR="00AC54E0" w:rsidRDefault="00AC54E0" w:rsidP="00BB2137">
      <w:pPr>
        <w:tabs>
          <w:tab w:val="left" w:pos="142"/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BB2137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аукциона в ГИС Торги, Организатор торгов </w:t>
      </w:r>
      <w:proofErr w:type="gramStart"/>
      <w:r>
        <w:rPr>
          <w:rFonts w:eastAsia="Calibri"/>
        </w:rPr>
        <w:t>размещает информацию об итогах аукциона размещается</w:t>
      </w:r>
      <w:proofErr w:type="gramEnd"/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 w:rsidR="00BB2137">
        <w:t>Администрации ЗАТО г.</w:t>
      </w:r>
      <w:r w:rsidRPr="00E123DD">
        <w:t xml:space="preserve"> Железногорск в информационно-телекоммуникационной сети «Интернет»: </w:t>
      </w:r>
      <w:r w:rsidRPr="001E246D">
        <w:t>http://ww</w:t>
      </w:r>
      <w:r>
        <w:t>w.admk26</w:t>
      </w:r>
      <w:r w:rsidR="00917462" w:rsidRPr="00917462">
        <w:t>/</w:t>
      </w:r>
      <w:proofErr w:type="spellStart"/>
      <w:r w:rsidR="00917462">
        <w:rPr>
          <w:lang w:val="en-US"/>
        </w:rPr>
        <w:t>ru</w:t>
      </w:r>
      <w:proofErr w:type="spellEnd"/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Pr="009C6D0F" w:rsidRDefault="009C6D0F" w:rsidP="009C6D0F">
      <w:pPr>
        <w:autoSpaceDE w:val="0"/>
        <w:autoSpaceDN w:val="0"/>
        <w:adjustRightInd w:val="0"/>
        <w:jc w:val="both"/>
        <w:rPr>
          <w:rFonts w:eastAsia="Calibri"/>
        </w:rPr>
      </w:pPr>
      <w:r w:rsidRPr="009C6D0F">
        <w:t xml:space="preserve">     </w:t>
      </w:r>
      <w:proofErr w:type="gramStart"/>
      <w:r w:rsidR="00AC54E0" w:rsidRPr="009C6D0F">
        <w:t>Договор купли-продажи имущества (</w:t>
      </w:r>
      <w:r w:rsidR="008714BC" w:rsidRPr="009C6D0F">
        <w:t>проект</w:t>
      </w:r>
      <w:r w:rsidR="00AC54E0" w:rsidRPr="009C6D0F">
        <w:t xml:space="preserve"> приведен в </w:t>
      </w:r>
      <w:r w:rsidR="006911C4" w:rsidRPr="009C6D0F">
        <w:t>П</w:t>
      </w:r>
      <w:r w:rsidR="00AC54E0" w:rsidRPr="009C6D0F">
        <w:t>риложении</w:t>
      </w:r>
      <w:r w:rsidR="006911C4" w:rsidRPr="009C6D0F">
        <w:t xml:space="preserve"> № 2</w:t>
      </w:r>
      <w:r w:rsidR="00AC54E0" w:rsidRPr="009C6D0F">
        <w:t xml:space="preserve"> </w:t>
      </w:r>
      <w:r w:rsidR="00AC54E0" w:rsidRPr="009C6D0F">
        <w:rPr>
          <w:bCs/>
        </w:rPr>
        <w:t>к настоящему информационному сообщению)</w:t>
      </w:r>
      <w:r w:rsidR="001138B9" w:rsidRPr="009C6D0F">
        <w:rPr>
          <w:bCs/>
        </w:rPr>
        <w:t xml:space="preserve"> </w:t>
      </w:r>
      <w:r w:rsidR="00AC54E0" w:rsidRPr="009C6D0F">
        <w:t xml:space="preserve">заключается между Продавцом и победителем </w:t>
      </w:r>
      <w:r w:rsidR="007B4A3B" w:rsidRPr="009C6D0F">
        <w:t>в течение</w:t>
      </w:r>
      <w:r w:rsidR="00AC54E0" w:rsidRPr="009C6D0F">
        <w:t xml:space="preserve"> 5 рабочих дней со дня подведения итогов аукциона</w:t>
      </w:r>
      <w:r w:rsidRPr="009C6D0F">
        <w:t xml:space="preserve"> либо лицом, признанным единственным участником аукциона, в случае, установленном в </w:t>
      </w:r>
      <w:hyperlink r:id="rId23" w:history="1">
        <w:r w:rsidRPr="009C6D0F">
          <w:t>абзаце втором пункта 3</w:t>
        </w:r>
      </w:hyperlink>
      <w:r w:rsidRPr="009C6D0F">
        <w:t xml:space="preserve"> статьи 18 Федерального закона от 21.12.2001 № 178-ФЗ «О приватизации государственного и муниципального имущества», заключается договор купли-продажи.</w:t>
      </w:r>
      <w:proofErr w:type="gramEnd"/>
    </w:p>
    <w:p w:rsidR="000F64B6" w:rsidRPr="000F64B6" w:rsidRDefault="000F64B6" w:rsidP="00BB2137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0F64B6">
        <w:rPr>
          <w:bCs/>
        </w:rPr>
        <w:t xml:space="preserve">В </w:t>
      </w:r>
      <w:proofErr w:type="gramStart"/>
      <w:r w:rsidRPr="000F64B6">
        <w:rPr>
          <w:bCs/>
        </w:rPr>
        <w:t>случае</w:t>
      </w:r>
      <w:proofErr w:type="gramEnd"/>
      <w:r w:rsidRPr="000F64B6">
        <w:rPr>
          <w:bCs/>
        </w:rPr>
        <w:t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0F64B6" w:rsidRPr="000F64B6" w:rsidRDefault="000F64B6" w:rsidP="00BB2137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0F64B6">
        <w:rPr>
          <w:bCs/>
        </w:rPr>
        <w:t xml:space="preserve">В </w:t>
      </w:r>
      <w:proofErr w:type="gramStart"/>
      <w:r w:rsidRPr="000F64B6">
        <w:rPr>
          <w:bCs/>
        </w:rPr>
        <w:t>случае</w:t>
      </w:r>
      <w:proofErr w:type="gramEnd"/>
      <w:r w:rsidRPr="000F64B6">
        <w:rPr>
          <w:bCs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AC54E0" w:rsidRPr="0087350D" w:rsidRDefault="00AC54E0" w:rsidP="00BB2137">
      <w:pPr>
        <w:autoSpaceDE w:val="0"/>
        <w:autoSpaceDN w:val="0"/>
        <w:adjustRightInd w:val="0"/>
        <w:ind w:firstLine="284"/>
        <w:jc w:val="both"/>
      </w:pPr>
      <w:r w:rsidRPr="0087350D">
        <w:lastRenderedPageBreak/>
        <w:t xml:space="preserve">Договор купли-продажи имущества заключается в </w:t>
      </w:r>
      <w:r w:rsidR="00BB2137">
        <w:t>электронной форме</w:t>
      </w:r>
      <w:r w:rsidRPr="0087350D">
        <w:t>.</w:t>
      </w:r>
    </w:p>
    <w:p w:rsidR="00AC54E0" w:rsidRPr="0087350D" w:rsidRDefault="00AC54E0" w:rsidP="00BB2137">
      <w:pPr>
        <w:autoSpaceDE w:val="0"/>
        <w:autoSpaceDN w:val="0"/>
        <w:adjustRightInd w:val="0"/>
        <w:ind w:firstLine="284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>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BB2137">
      <w:pPr>
        <w:autoSpaceDE w:val="0"/>
        <w:autoSpaceDN w:val="0"/>
        <w:adjustRightInd w:val="0"/>
        <w:ind w:firstLine="567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58770E">
      <w:pPr>
        <w:widowControl w:val="0"/>
        <w:ind w:firstLine="426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 xml:space="preserve">- </w:t>
      </w:r>
      <w:r w:rsidR="0033169D" w:rsidRPr="0033169D">
        <w:rPr>
          <w:sz w:val="24"/>
          <w:szCs w:val="24"/>
        </w:rPr>
        <w:t xml:space="preserve">перечисление </w:t>
      </w:r>
      <w:r w:rsidR="002301A2">
        <w:rPr>
          <w:sz w:val="24"/>
          <w:szCs w:val="24"/>
        </w:rPr>
        <w:t>п</w:t>
      </w:r>
      <w:r w:rsidR="002301A2" w:rsidRPr="00C749E9">
        <w:rPr>
          <w:sz w:val="24"/>
          <w:szCs w:val="24"/>
        </w:rPr>
        <w:t xml:space="preserve">окупателем стоимости </w:t>
      </w:r>
      <w:r w:rsidR="00917462">
        <w:rPr>
          <w:sz w:val="24"/>
          <w:szCs w:val="24"/>
        </w:rPr>
        <w:t>О</w:t>
      </w:r>
      <w:r w:rsidR="002301A2" w:rsidRPr="00C749E9">
        <w:rPr>
          <w:sz w:val="24"/>
          <w:szCs w:val="24"/>
        </w:rPr>
        <w:t xml:space="preserve">бъекта, определенной по итогам </w:t>
      </w:r>
      <w:r w:rsidR="002301A2">
        <w:rPr>
          <w:sz w:val="24"/>
          <w:szCs w:val="24"/>
        </w:rPr>
        <w:t>аукциона</w:t>
      </w:r>
      <w:r w:rsidR="002301A2" w:rsidRPr="00C749E9">
        <w:rPr>
          <w:sz w:val="24"/>
          <w:szCs w:val="24"/>
        </w:rPr>
        <w:t xml:space="preserve">, без учета НДС за вычетом внесенного  им задатка для участия в </w:t>
      </w:r>
      <w:r w:rsidR="002301A2">
        <w:rPr>
          <w:sz w:val="24"/>
          <w:szCs w:val="24"/>
        </w:rPr>
        <w:t>аукционе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174164">
        <w:rPr>
          <w:sz w:val="24"/>
          <w:szCs w:val="24"/>
        </w:rPr>
        <w:t>3</w:t>
      </w:r>
      <w:r w:rsidR="002301A2">
        <w:rPr>
          <w:sz w:val="24"/>
          <w:szCs w:val="24"/>
        </w:rPr>
        <w:t xml:space="preserve"> 000</w:t>
      </w:r>
      <w:r w:rsidR="002301A2" w:rsidRPr="00C749E9">
        <w:rPr>
          <w:sz w:val="24"/>
          <w:szCs w:val="24"/>
        </w:rPr>
        <w:t xml:space="preserve"> (</w:t>
      </w:r>
      <w:r w:rsidR="00174164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174164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proofErr w:type="gramStart"/>
      <w:r w:rsidR="0033169D" w:rsidRPr="0033169D">
        <w:rPr>
          <w:sz w:val="24"/>
          <w:szCs w:val="24"/>
        </w:rPr>
        <w:t>р</w:t>
      </w:r>
      <w:proofErr w:type="spellEnd"/>
      <w:proofErr w:type="gram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(Администрация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802CFA">
        <w:rPr>
          <w:sz w:val="24"/>
          <w:szCs w:val="24"/>
        </w:rPr>
        <w:t>4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8F7B0E" w:rsidRPr="00F2627F" w:rsidRDefault="008714BC" w:rsidP="008F7B0E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</w:t>
      </w:r>
      <w:r w:rsidR="008F7B0E" w:rsidRPr="00F2627F">
        <w:rPr>
          <w:sz w:val="24"/>
          <w:szCs w:val="24"/>
        </w:rPr>
        <w:t xml:space="preserve">перечисление в бюджет суммы НДС, указанной в п. 2.1 настоящего Договора, производится Покупателем в сроки, установленные в п. 2.2.1 настоящего Договора. Форма платежа – перечисление денежных средств по следующим реквизитам: </w:t>
      </w:r>
      <w:proofErr w:type="spellStart"/>
      <w:proofErr w:type="gramStart"/>
      <w:r w:rsidR="008F7B0E" w:rsidRPr="00F2627F">
        <w:rPr>
          <w:sz w:val="24"/>
          <w:szCs w:val="24"/>
        </w:rPr>
        <w:t>р</w:t>
      </w:r>
      <w:proofErr w:type="spellEnd"/>
      <w:proofErr w:type="gramEnd"/>
      <w:r w:rsidR="008F7B0E" w:rsidRPr="00F2627F">
        <w:rPr>
          <w:sz w:val="24"/>
          <w:szCs w:val="24"/>
        </w:rPr>
        <w:t>/</w:t>
      </w:r>
      <w:proofErr w:type="spellStart"/>
      <w:r w:rsidR="008F7B0E" w:rsidRPr="00F2627F">
        <w:rPr>
          <w:sz w:val="24"/>
          <w:szCs w:val="24"/>
        </w:rPr>
        <w:t>сч</w:t>
      </w:r>
      <w:proofErr w:type="spellEnd"/>
      <w:r w:rsidR="008F7B0E" w:rsidRPr="00F2627F">
        <w:rPr>
          <w:sz w:val="24"/>
          <w:szCs w:val="24"/>
        </w:rPr>
        <w:t xml:space="preserve"> 03100643000000018500 в ОТДЕЛЕНИЕ ТУЛА БАНКА РОССИИ//УФК по Тульской области, г Тула, </w:t>
      </w:r>
      <w:proofErr w:type="spellStart"/>
      <w:r w:rsidR="008F7B0E" w:rsidRPr="00F2627F">
        <w:rPr>
          <w:sz w:val="24"/>
          <w:szCs w:val="24"/>
        </w:rPr>
        <w:t>кор</w:t>
      </w:r>
      <w:proofErr w:type="spellEnd"/>
      <w:r w:rsidR="008F7B0E" w:rsidRPr="00F2627F">
        <w:rPr>
          <w:sz w:val="24"/>
          <w:szCs w:val="24"/>
        </w:rPr>
        <w:t xml:space="preserve"> счет - 40102810445370000059, БИК банка получателя - 017003983, получатель: Управление Федерального казначейства по Тульской области (Межрегиональная инспекция Федеральной налоговой службы по управлению долгом), ИНН получателя - 77274060</w:t>
      </w:r>
      <w:r w:rsidR="00917462">
        <w:rPr>
          <w:sz w:val="24"/>
          <w:szCs w:val="24"/>
        </w:rPr>
        <w:t>20, КПП получателя - 770801001.</w:t>
      </w:r>
      <w:r w:rsidR="008F7B0E" w:rsidRPr="00F2627F">
        <w:rPr>
          <w:sz w:val="24"/>
          <w:szCs w:val="24"/>
        </w:rPr>
        <w:t xml:space="preserve"> Код бюджетной классификации (КБК) – 18210301000011000110, УИН – 0, ТП (текущий платеж),  назначение платежа:</w:t>
      </w:r>
    </w:p>
    <w:p w:rsidR="008F7B0E" w:rsidRDefault="008F7B0E" w:rsidP="008F7B0E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F2627F">
        <w:rPr>
          <w:sz w:val="24"/>
          <w:szCs w:val="24"/>
          <w:u w:val="single"/>
        </w:rPr>
        <w:t>Лица, не являющиеся плательщиками</w:t>
      </w:r>
      <w:r w:rsidRPr="00F2627F">
        <w:rPr>
          <w:sz w:val="24"/>
          <w:szCs w:val="24"/>
        </w:rPr>
        <w:t xml:space="preserve"> – Налог на </w:t>
      </w:r>
      <w:proofErr w:type="spellStart"/>
      <w:r w:rsidRPr="00F2627F">
        <w:rPr>
          <w:sz w:val="24"/>
          <w:szCs w:val="24"/>
        </w:rPr>
        <w:t>доб</w:t>
      </w:r>
      <w:proofErr w:type="gramStart"/>
      <w:r w:rsidRPr="00F2627F">
        <w:rPr>
          <w:sz w:val="24"/>
          <w:szCs w:val="24"/>
        </w:rPr>
        <w:t>.с</w:t>
      </w:r>
      <w:proofErr w:type="gramEnd"/>
      <w:r w:rsidRPr="00F2627F">
        <w:rPr>
          <w:sz w:val="24"/>
          <w:szCs w:val="24"/>
        </w:rPr>
        <w:t>тоимость</w:t>
      </w:r>
      <w:proofErr w:type="spellEnd"/>
      <w:r w:rsidRPr="00C749E9">
        <w:rPr>
          <w:sz w:val="24"/>
          <w:szCs w:val="24"/>
        </w:rPr>
        <w:t xml:space="preserve">, с </w:t>
      </w:r>
      <w:proofErr w:type="spellStart"/>
      <w:r w:rsidRPr="00C749E9">
        <w:rPr>
          <w:sz w:val="24"/>
          <w:szCs w:val="24"/>
        </w:rPr>
        <w:t>опер.по</w:t>
      </w:r>
      <w:proofErr w:type="spellEnd"/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реализ.мун.имущ</w:t>
      </w:r>
      <w:proofErr w:type="spellEnd"/>
      <w:r w:rsidRPr="00C749E9">
        <w:rPr>
          <w:sz w:val="24"/>
          <w:szCs w:val="24"/>
        </w:rPr>
        <w:t>., за юр.лицо, Администрация ЗАТО г. Железногорск, ИНН 2452012069, по дог. от ___.___.20</w:t>
      </w:r>
      <w:r>
        <w:rPr>
          <w:sz w:val="24"/>
          <w:szCs w:val="24"/>
        </w:rPr>
        <w:t>2</w:t>
      </w:r>
      <w:r w:rsidR="00802CFA">
        <w:rPr>
          <w:sz w:val="24"/>
          <w:szCs w:val="24"/>
        </w:rPr>
        <w:t>4</w:t>
      </w:r>
      <w:r w:rsidRPr="00C749E9">
        <w:rPr>
          <w:sz w:val="24"/>
          <w:szCs w:val="24"/>
        </w:rPr>
        <w:t xml:space="preserve"> № ____. </w:t>
      </w:r>
    </w:p>
    <w:p w:rsidR="008F7B0E" w:rsidRDefault="008F7B0E" w:rsidP="008F7B0E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– Налог на добавленную стоимость на товары (работы, услуги), реализуемые на территории Российской Федерации, </w:t>
      </w:r>
      <w:r w:rsidRPr="00C749E9">
        <w:rPr>
          <w:sz w:val="24"/>
          <w:szCs w:val="24"/>
        </w:rPr>
        <w:t>по дог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о</w:t>
      </w:r>
      <w:proofErr w:type="gramEnd"/>
      <w:r w:rsidRPr="00C749E9">
        <w:rPr>
          <w:sz w:val="24"/>
          <w:szCs w:val="24"/>
        </w:rPr>
        <w:t>т ___.___.20</w:t>
      </w:r>
      <w:r>
        <w:rPr>
          <w:sz w:val="24"/>
          <w:szCs w:val="24"/>
        </w:rPr>
        <w:t>2</w:t>
      </w:r>
      <w:r w:rsidR="00802CFA">
        <w:rPr>
          <w:sz w:val="24"/>
          <w:szCs w:val="24"/>
        </w:rPr>
        <w:t>4</w:t>
      </w:r>
      <w:r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обязан представить продавцу платежное поручение, подтверждающее оплату суммы НДС, указанную в договоре.</w:t>
      </w:r>
    </w:p>
    <w:p w:rsidR="00210D8F" w:rsidRPr="00053585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8F7B0E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53585">
        <w:rPr>
          <w:bCs/>
          <w:u w:val="single"/>
        </w:rPr>
        <w:t>.</w:t>
      </w:r>
    </w:p>
    <w:p w:rsidR="00AC54E0" w:rsidRDefault="00AC54E0" w:rsidP="0058770E">
      <w:pPr>
        <w:ind w:firstLine="426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>обедителем аукциона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2301A2">
        <w:rPr>
          <w:b/>
        </w:rPr>
        <w:t xml:space="preserve">аукциона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</w:t>
      </w:r>
      <w:r w:rsidRPr="00E05FE0">
        <w:lastRenderedPageBreak/>
        <w:t xml:space="preserve">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Администрацию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58770E">
      <w:pPr>
        <w:widowControl w:val="0"/>
        <w:ind w:firstLine="426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58770E">
      <w:pPr>
        <w:widowControl w:val="0"/>
        <w:autoSpaceDE w:val="0"/>
        <w:autoSpaceDN w:val="0"/>
        <w:adjustRightInd w:val="0"/>
        <w:ind w:firstLine="426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4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5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6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proofErr w:type="gramStart"/>
      <w:r w:rsidRPr="00564391">
        <w:rPr>
          <w:b/>
        </w:rPr>
        <w:t>К участию в приватизации недвижимого имущества, являющегося муниципальной собственностью и находящегося на территории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</w:t>
      </w:r>
      <w:proofErr w:type="gramEnd"/>
      <w:r w:rsidRPr="00564391">
        <w:rPr>
          <w:b/>
        </w:rPr>
        <w:t xml:space="preserve">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lastRenderedPageBreak/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7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8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"Росатом", ограничивающий въезд граждан на территорию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территорию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"Росатом"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территорию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территорию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</w:t>
      </w:r>
      <w:proofErr w:type="gramStart"/>
      <w:r w:rsidR="00210D8F" w:rsidRPr="00210D8F">
        <w:rPr>
          <w:b/>
          <w:iCs/>
          <w:szCs w:val="24"/>
        </w:rPr>
        <w:t>размещенными</w:t>
      </w:r>
      <w:proofErr w:type="gramEnd"/>
      <w:r w:rsidR="00210D8F" w:rsidRPr="00210D8F">
        <w:rPr>
          <w:b/>
          <w:iCs/>
          <w:szCs w:val="24"/>
        </w:rPr>
        <w:t xml:space="preserve"> по адресу: </w:t>
      </w:r>
      <w:hyperlink r:id="rId29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Администрацию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917462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B42DCB">
        <w:t>ачальник</w:t>
      </w:r>
      <w:r w:rsidR="0033169D">
        <w:t xml:space="preserve">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</w:r>
      <w:r w:rsidR="00174164">
        <w:tab/>
      </w:r>
      <w:r w:rsidR="00917462">
        <w:t xml:space="preserve">          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300A73">
      <w:pgSz w:w="11906" w:h="16838"/>
      <w:pgMar w:top="680" w:right="624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00B8"/>
    <w:rsid w:val="00032CE9"/>
    <w:rsid w:val="00033B84"/>
    <w:rsid w:val="00033F8E"/>
    <w:rsid w:val="000355BF"/>
    <w:rsid w:val="00041F01"/>
    <w:rsid w:val="0005337A"/>
    <w:rsid w:val="00053585"/>
    <w:rsid w:val="00055446"/>
    <w:rsid w:val="00060B01"/>
    <w:rsid w:val="00066402"/>
    <w:rsid w:val="00073962"/>
    <w:rsid w:val="0008576F"/>
    <w:rsid w:val="00087668"/>
    <w:rsid w:val="00090BF3"/>
    <w:rsid w:val="0009570B"/>
    <w:rsid w:val="000A53B9"/>
    <w:rsid w:val="000B30DB"/>
    <w:rsid w:val="000C03A8"/>
    <w:rsid w:val="000C26CA"/>
    <w:rsid w:val="000C6A94"/>
    <w:rsid w:val="000D2202"/>
    <w:rsid w:val="000D46FA"/>
    <w:rsid w:val="000D61D5"/>
    <w:rsid w:val="000D77D1"/>
    <w:rsid w:val="000E5782"/>
    <w:rsid w:val="000F64B6"/>
    <w:rsid w:val="001138B9"/>
    <w:rsid w:val="001139AC"/>
    <w:rsid w:val="00120E34"/>
    <w:rsid w:val="0013637D"/>
    <w:rsid w:val="00137102"/>
    <w:rsid w:val="00140B68"/>
    <w:rsid w:val="001413AE"/>
    <w:rsid w:val="00143370"/>
    <w:rsid w:val="00147918"/>
    <w:rsid w:val="001645F3"/>
    <w:rsid w:val="00174164"/>
    <w:rsid w:val="00185362"/>
    <w:rsid w:val="00194556"/>
    <w:rsid w:val="001A141A"/>
    <w:rsid w:val="001A4F82"/>
    <w:rsid w:val="001A7C31"/>
    <w:rsid w:val="001B00B5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E6AE6"/>
    <w:rsid w:val="001F1A1C"/>
    <w:rsid w:val="00202F30"/>
    <w:rsid w:val="00210D8F"/>
    <w:rsid w:val="0021213A"/>
    <w:rsid w:val="002137AC"/>
    <w:rsid w:val="00214EA6"/>
    <w:rsid w:val="00226BB0"/>
    <w:rsid w:val="00227461"/>
    <w:rsid w:val="002301A2"/>
    <w:rsid w:val="00231148"/>
    <w:rsid w:val="00231502"/>
    <w:rsid w:val="00240682"/>
    <w:rsid w:val="002476DF"/>
    <w:rsid w:val="00251EF0"/>
    <w:rsid w:val="00252857"/>
    <w:rsid w:val="00252B29"/>
    <w:rsid w:val="00252CD3"/>
    <w:rsid w:val="00263ECA"/>
    <w:rsid w:val="00266816"/>
    <w:rsid w:val="00266EFC"/>
    <w:rsid w:val="00274BCA"/>
    <w:rsid w:val="00275718"/>
    <w:rsid w:val="00275D5E"/>
    <w:rsid w:val="002761B8"/>
    <w:rsid w:val="002765A0"/>
    <w:rsid w:val="00280B7E"/>
    <w:rsid w:val="00285532"/>
    <w:rsid w:val="002871CA"/>
    <w:rsid w:val="002B0A2F"/>
    <w:rsid w:val="002C1710"/>
    <w:rsid w:val="002C7982"/>
    <w:rsid w:val="002D0950"/>
    <w:rsid w:val="002D1EB9"/>
    <w:rsid w:val="002E03C5"/>
    <w:rsid w:val="002E1DEE"/>
    <w:rsid w:val="002E7BEC"/>
    <w:rsid w:val="002F48C8"/>
    <w:rsid w:val="002F4D6C"/>
    <w:rsid w:val="00300A73"/>
    <w:rsid w:val="00303894"/>
    <w:rsid w:val="00313A03"/>
    <w:rsid w:val="00321A23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75F3E"/>
    <w:rsid w:val="003820BC"/>
    <w:rsid w:val="00382D9C"/>
    <w:rsid w:val="003A2FCA"/>
    <w:rsid w:val="003B1C41"/>
    <w:rsid w:val="003B27D4"/>
    <w:rsid w:val="003B45E0"/>
    <w:rsid w:val="003B4AED"/>
    <w:rsid w:val="003C089C"/>
    <w:rsid w:val="003C61C3"/>
    <w:rsid w:val="003E180D"/>
    <w:rsid w:val="003E2A9E"/>
    <w:rsid w:val="003E6AE8"/>
    <w:rsid w:val="003F0F9F"/>
    <w:rsid w:val="003F3A07"/>
    <w:rsid w:val="003F446B"/>
    <w:rsid w:val="003F4ADF"/>
    <w:rsid w:val="003F551F"/>
    <w:rsid w:val="00400D34"/>
    <w:rsid w:val="0040113C"/>
    <w:rsid w:val="00407D71"/>
    <w:rsid w:val="0041796B"/>
    <w:rsid w:val="0042009C"/>
    <w:rsid w:val="00431EEE"/>
    <w:rsid w:val="00434636"/>
    <w:rsid w:val="00443151"/>
    <w:rsid w:val="0044671D"/>
    <w:rsid w:val="004519A4"/>
    <w:rsid w:val="004521BA"/>
    <w:rsid w:val="00463492"/>
    <w:rsid w:val="0046352B"/>
    <w:rsid w:val="00463877"/>
    <w:rsid w:val="00465DEF"/>
    <w:rsid w:val="00470A86"/>
    <w:rsid w:val="004716B6"/>
    <w:rsid w:val="00474EF5"/>
    <w:rsid w:val="00482167"/>
    <w:rsid w:val="00484F14"/>
    <w:rsid w:val="004856EA"/>
    <w:rsid w:val="00495168"/>
    <w:rsid w:val="004979EB"/>
    <w:rsid w:val="004A7172"/>
    <w:rsid w:val="004C184E"/>
    <w:rsid w:val="004C1CB9"/>
    <w:rsid w:val="004C5884"/>
    <w:rsid w:val="004C7876"/>
    <w:rsid w:val="004E3A77"/>
    <w:rsid w:val="004E4DB0"/>
    <w:rsid w:val="004E7E56"/>
    <w:rsid w:val="004F25B4"/>
    <w:rsid w:val="004F2EC6"/>
    <w:rsid w:val="004F77CF"/>
    <w:rsid w:val="00501B02"/>
    <w:rsid w:val="005033AE"/>
    <w:rsid w:val="00504E91"/>
    <w:rsid w:val="00510C80"/>
    <w:rsid w:val="00522876"/>
    <w:rsid w:val="0052373D"/>
    <w:rsid w:val="00537F11"/>
    <w:rsid w:val="00543C75"/>
    <w:rsid w:val="00564391"/>
    <w:rsid w:val="00573662"/>
    <w:rsid w:val="0058087B"/>
    <w:rsid w:val="0058374B"/>
    <w:rsid w:val="0058770E"/>
    <w:rsid w:val="00594E44"/>
    <w:rsid w:val="005A2913"/>
    <w:rsid w:val="005A550E"/>
    <w:rsid w:val="005B5CD1"/>
    <w:rsid w:val="005C2631"/>
    <w:rsid w:val="005C421F"/>
    <w:rsid w:val="005F3333"/>
    <w:rsid w:val="00601836"/>
    <w:rsid w:val="006103B3"/>
    <w:rsid w:val="00611DDA"/>
    <w:rsid w:val="00614F6F"/>
    <w:rsid w:val="006173C1"/>
    <w:rsid w:val="0062672F"/>
    <w:rsid w:val="00627500"/>
    <w:rsid w:val="00627B45"/>
    <w:rsid w:val="00634EB7"/>
    <w:rsid w:val="00641C42"/>
    <w:rsid w:val="00651632"/>
    <w:rsid w:val="0065324B"/>
    <w:rsid w:val="006546CC"/>
    <w:rsid w:val="00655DD0"/>
    <w:rsid w:val="006570BF"/>
    <w:rsid w:val="00657997"/>
    <w:rsid w:val="00657BD0"/>
    <w:rsid w:val="00660611"/>
    <w:rsid w:val="0066625E"/>
    <w:rsid w:val="006911C4"/>
    <w:rsid w:val="0069260F"/>
    <w:rsid w:val="00693BE8"/>
    <w:rsid w:val="006A042F"/>
    <w:rsid w:val="006A1E90"/>
    <w:rsid w:val="006A2775"/>
    <w:rsid w:val="006A4990"/>
    <w:rsid w:val="006A6B38"/>
    <w:rsid w:val="006B0C75"/>
    <w:rsid w:val="006D0447"/>
    <w:rsid w:val="006D5C3D"/>
    <w:rsid w:val="006D6CBA"/>
    <w:rsid w:val="006E1014"/>
    <w:rsid w:val="006E46BB"/>
    <w:rsid w:val="006E4E18"/>
    <w:rsid w:val="006F129E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0CE2"/>
    <w:rsid w:val="0074449C"/>
    <w:rsid w:val="00746013"/>
    <w:rsid w:val="007557BB"/>
    <w:rsid w:val="00755F54"/>
    <w:rsid w:val="00772A5B"/>
    <w:rsid w:val="007862BD"/>
    <w:rsid w:val="00786CB7"/>
    <w:rsid w:val="007927DC"/>
    <w:rsid w:val="007957B9"/>
    <w:rsid w:val="007B4363"/>
    <w:rsid w:val="007B4A3B"/>
    <w:rsid w:val="007C6609"/>
    <w:rsid w:val="007D085E"/>
    <w:rsid w:val="007D11F2"/>
    <w:rsid w:val="007D5BE1"/>
    <w:rsid w:val="007E4536"/>
    <w:rsid w:val="007E6DDF"/>
    <w:rsid w:val="007F01B8"/>
    <w:rsid w:val="007F0856"/>
    <w:rsid w:val="007F201D"/>
    <w:rsid w:val="00802CFA"/>
    <w:rsid w:val="0080431A"/>
    <w:rsid w:val="008054CA"/>
    <w:rsid w:val="0080658A"/>
    <w:rsid w:val="00810A34"/>
    <w:rsid w:val="0083234C"/>
    <w:rsid w:val="0083774F"/>
    <w:rsid w:val="00850886"/>
    <w:rsid w:val="00850E9C"/>
    <w:rsid w:val="00861360"/>
    <w:rsid w:val="00862B8F"/>
    <w:rsid w:val="00870398"/>
    <w:rsid w:val="008714BC"/>
    <w:rsid w:val="0087350D"/>
    <w:rsid w:val="00884D96"/>
    <w:rsid w:val="00885F85"/>
    <w:rsid w:val="008A1A46"/>
    <w:rsid w:val="008B4E05"/>
    <w:rsid w:val="008C15C1"/>
    <w:rsid w:val="008D0F77"/>
    <w:rsid w:val="008D3872"/>
    <w:rsid w:val="008D511D"/>
    <w:rsid w:val="008E0CC4"/>
    <w:rsid w:val="008E48BA"/>
    <w:rsid w:val="008F0DA7"/>
    <w:rsid w:val="008F7759"/>
    <w:rsid w:val="008F7B0E"/>
    <w:rsid w:val="00913F0E"/>
    <w:rsid w:val="0091666C"/>
    <w:rsid w:val="00917462"/>
    <w:rsid w:val="00922C15"/>
    <w:rsid w:val="00930179"/>
    <w:rsid w:val="009316D7"/>
    <w:rsid w:val="00933CA3"/>
    <w:rsid w:val="00940BAC"/>
    <w:rsid w:val="009544EC"/>
    <w:rsid w:val="009635DE"/>
    <w:rsid w:val="009639B1"/>
    <w:rsid w:val="0096718F"/>
    <w:rsid w:val="00973D74"/>
    <w:rsid w:val="009809C7"/>
    <w:rsid w:val="009818C2"/>
    <w:rsid w:val="00981D57"/>
    <w:rsid w:val="00983A22"/>
    <w:rsid w:val="009851A9"/>
    <w:rsid w:val="009A3369"/>
    <w:rsid w:val="009B2E4D"/>
    <w:rsid w:val="009C190E"/>
    <w:rsid w:val="009C310A"/>
    <w:rsid w:val="009C6D0F"/>
    <w:rsid w:val="009D26FB"/>
    <w:rsid w:val="009D2A7D"/>
    <w:rsid w:val="009D3B08"/>
    <w:rsid w:val="009F1435"/>
    <w:rsid w:val="009F3059"/>
    <w:rsid w:val="00A0789E"/>
    <w:rsid w:val="00A14A80"/>
    <w:rsid w:val="00A24971"/>
    <w:rsid w:val="00A52FF8"/>
    <w:rsid w:val="00A90FA0"/>
    <w:rsid w:val="00A93722"/>
    <w:rsid w:val="00AC1DC4"/>
    <w:rsid w:val="00AC4C64"/>
    <w:rsid w:val="00AC54E0"/>
    <w:rsid w:val="00AD5870"/>
    <w:rsid w:val="00AE2F0B"/>
    <w:rsid w:val="00AF15CE"/>
    <w:rsid w:val="00B00EF9"/>
    <w:rsid w:val="00B10DF9"/>
    <w:rsid w:val="00B22248"/>
    <w:rsid w:val="00B22710"/>
    <w:rsid w:val="00B228CC"/>
    <w:rsid w:val="00B27B49"/>
    <w:rsid w:val="00B27F5D"/>
    <w:rsid w:val="00B32B92"/>
    <w:rsid w:val="00B32EE1"/>
    <w:rsid w:val="00B33FC7"/>
    <w:rsid w:val="00B41907"/>
    <w:rsid w:val="00B42DCB"/>
    <w:rsid w:val="00B567E5"/>
    <w:rsid w:val="00B61B07"/>
    <w:rsid w:val="00B73910"/>
    <w:rsid w:val="00B74DB7"/>
    <w:rsid w:val="00B751A5"/>
    <w:rsid w:val="00BA0443"/>
    <w:rsid w:val="00BB2137"/>
    <w:rsid w:val="00BB472B"/>
    <w:rsid w:val="00BC4FAE"/>
    <w:rsid w:val="00BD75BE"/>
    <w:rsid w:val="00BE7144"/>
    <w:rsid w:val="00BE7EB6"/>
    <w:rsid w:val="00BF0A0C"/>
    <w:rsid w:val="00C013E9"/>
    <w:rsid w:val="00C03136"/>
    <w:rsid w:val="00C050CD"/>
    <w:rsid w:val="00C065CD"/>
    <w:rsid w:val="00C12CC6"/>
    <w:rsid w:val="00C15BFE"/>
    <w:rsid w:val="00C17E25"/>
    <w:rsid w:val="00C25314"/>
    <w:rsid w:val="00C34716"/>
    <w:rsid w:val="00C432ED"/>
    <w:rsid w:val="00C457A2"/>
    <w:rsid w:val="00C46D9B"/>
    <w:rsid w:val="00C55CD9"/>
    <w:rsid w:val="00C56079"/>
    <w:rsid w:val="00C636F0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C1957"/>
    <w:rsid w:val="00CC2C24"/>
    <w:rsid w:val="00CC73F7"/>
    <w:rsid w:val="00CC7BB3"/>
    <w:rsid w:val="00CD5A88"/>
    <w:rsid w:val="00CE00D3"/>
    <w:rsid w:val="00CE33D8"/>
    <w:rsid w:val="00CF3357"/>
    <w:rsid w:val="00CF447D"/>
    <w:rsid w:val="00CF7530"/>
    <w:rsid w:val="00D02073"/>
    <w:rsid w:val="00D10210"/>
    <w:rsid w:val="00D17CF8"/>
    <w:rsid w:val="00D20BF8"/>
    <w:rsid w:val="00D214BE"/>
    <w:rsid w:val="00D2174C"/>
    <w:rsid w:val="00D22EFF"/>
    <w:rsid w:val="00D23669"/>
    <w:rsid w:val="00D26C42"/>
    <w:rsid w:val="00D277D7"/>
    <w:rsid w:val="00D277F9"/>
    <w:rsid w:val="00D361DE"/>
    <w:rsid w:val="00D3721B"/>
    <w:rsid w:val="00D37700"/>
    <w:rsid w:val="00D45CBE"/>
    <w:rsid w:val="00D46903"/>
    <w:rsid w:val="00D5091A"/>
    <w:rsid w:val="00D51EB0"/>
    <w:rsid w:val="00D65DA9"/>
    <w:rsid w:val="00D65F92"/>
    <w:rsid w:val="00D66D36"/>
    <w:rsid w:val="00D738A7"/>
    <w:rsid w:val="00D7441B"/>
    <w:rsid w:val="00D837B8"/>
    <w:rsid w:val="00D864D9"/>
    <w:rsid w:val="00D97A4A"/>
    <w:rsid w:val="00DA4E84"/>
    <w:rsid w:val="00DA5498"/>
    <w:rsid w:val="00DA56C7"/>
    <w:rsid w:val="00DB2220"/>
    <w:rsid w:val="00DD0F24"/>
    <w:rsid w:val="00DD2AFC"/>
    <w:rsid w:val="00DE7754"/>
    <w:rsid w:val="00E123DD"/>
    <w:rsid w:val="00E2074D"/>
    <w:rsid w:val="00E22F9C"/>
    <w:rsid w:val="00E30A04"/>
    <w:rsid w:val="00E37587"/>
    <w:rsid w:val="00E37CDB"/>
    <w:rsid w:val="00E40579"/>
    <w:rsid w:val="00E42751"/>
    <w:rsid w:val="00E46400"/>
    <w:rsid w:val="00E550EE"/>
    <w:rsid w:val="00E6206C"/>
    <w:rsid w:val="00E66BC2"/>
    <w:rsid w:val="00E77CAD"/>
    <w:rsid w:val="00E84A30"/>
    <w:rsid w:val="00E84EEF"/>
    <w:rsid w:val="00E85A71"/>
    <w:rsid w:val="00E863A4"/>
    <w:rsid w:val="00E93C0C"/>
    <w:rsid w:val="00E969C4"/>
    <w:rsid w:val="00E97409"/>
    <w:rsid w:val="00EA0C26"/>
    <w:rsid w:val="00EA3F01"/>
    <w:rsid w:val="00EA5236"/>
    <w:rsid w:val="00EB38CF"/>
    <w:rsid w:val="00EE126F"/>
    <w:rsid w:val="00EE5CD6"/>
    <w:rsid w:val="00EF1190"/>
    <w:rsid w:val="00EF1434"/>
    <w:rsid w:val="00EF494C"/>
    <w:rsid w:val="00EF6C5D"/>
    <w:rsid w:val="00F029BA"/>
    <w:rsid w:val="00F12832"/>
    <w:rsid w:val="00F30899"/>
    <w:rsid w:val="00F36955"/>
    <w:rsid w:val="00F47B66"/>
    <w:rsid w:val="00F503DF"/>
    <w:rsid w:val="00F50D59"/>
    <w:rsid w:val="00F51BCF"/>
    <w:rsid w:val="00F533BD"/>
    <w:rsid w:val="00F67118"/>
    <w:rsid w:val="00F720AD"/>
    <w:rsid w:val="00F720C7"/>
    <w:rsid w:val="00F7453A"/>
    <w:rsid w:val="00F75F2B"/>
    <w:rsid w:val="00F77178"/>
    <w:rsid w:val="00F96597"/>
    <w:rsid w:val="00FA2F37"/>
    <w:rsid w:val="00FB399D"/>
    <w:rsid w:val="00FC55BE"/>
    <w:rsid w:val="00FD1EDD"/>
    <w:rsid w:val="00FD3788"/>
    <w:rsid w:val="00FD79F6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136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63D02F78AE7F95D9967B1B63C1D32A0059225704E0A605917A4E8DFA0EB8478B326822C45E2F67F55B76A7C4542F28162D80DA6Be9R6E" TargetMode="External"/><Relationship Id="rId7" Type="http://schemas.openxmlformats.org/officeDocument/2006/relationships/hyperlink" Target="http://www.admk26" TargetMode="External"/><Relationship Id="rId12" Type="http://schemas.openxmlformats.org/officeDocument/2006/relationships/hyperlink" Target="http://utp.sberbank-ast.ru/AP/Notice/1027/Instructions" TargetMode="External"/><Relationship Id="rId17" Type="http://schemas.openxmlformats.org/officeDocument/2006/relationships/hyperlink" Target="mailto:property@sberbank-ast.ru" TargetMode="External"/><Relationship Id="rId25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767E132FABCA80E5D8E89BBA81F5C773224245EE3648859B1788C14793711A0B1681896E1FFD4DrCB3Q" TargetMode="External"/><Relationship Id="rId20" Type="http://schemas.openxmlformats.org/officeDocument/2006/relationships/hyperlink" Target="consultantplus://offline/ref=0F63D02F78AE7F95D9967B1B63C1D32A0059225704E0A605917A4E8DFA0EB8478B326822C45E2F67F55B76A7C4542F28162D80DA6Be9R6E" TargetMode="External"/><Relationship Id="rId29" Type="http://schemas.openxmlformats.org/officeDocument/2006/relationships/hyperlink" Target="http://www.admk26.ru/sfery/%20bezopasno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/AP/Notice/1027/Instructions" TargetMode="External"/><Relationship Id="rId24" Type="http://schemas.openxmlformats.org/officeDocument/2006/relationships/hyperlink" Target="consultantplus://offline/ref=309FD773562D93D1254750BC451FFC67D547FE7DF009F6FFE2386DBBC9B6384AA3EA26C53D32677E796AC24C348E3BF25D0491n2h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18AF8E902C8A8369C11EDDC3A943C2AAEAED217A7EF984E6EEF39448E5D826804E731581A443F6h3BBF" TargetMode="External"/><Relationship Id="rId23" Type="http://schemas.openxmlformats.org/officeDocument/2006/relationships/hyperlink" Target="consultantplus://offline/ref=5C6CB48238F36F370A777F7F90A0EBC1FA4DD02D913BA6CF6DBA4B17E06822974A1E55492408EBEBA9C5ED5B5C4EC0F310B219C9A1t5OAE" TargetMode="External"/><Relationship Id="rId28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sberbank-ast.ru/CAList.aspx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42EC-38DC-4746-B356-F4C23775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5288</Words>
  <Characters>40659</Characters>
  <Application>Microsoft Office Word</Application>
  <DocSecurity>0</DocSecurity>
  <Lines>338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45856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Tiholaz</cp:lastModifiedBy>
  <cp:revision>2</cp:revision>
  <cp:lastPrinted>2024-11-02T02:37:00Z</cp:lastPrinted>
  <dcterms:created xsi:type="dcterms:W3CDTF">2024-11-11T07:06:00Z</dcterms:created>
  <dcterms:modified xsi:type="dcterms:W3CDTF">2024-11-11T07:06:00Z</dcterms:modified>
</cp:coreProperties>
</file>